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E7490"/>
          <w:sz w:val="44"/>
        </w:rPr>
        <w:t>AeroTwin: Presentation Deck &amp; Script Package</w:t>
      </w:r>
    </w:p>
    <w:p>
      <w:pPr>
        <w:spacing w:after="240"/>
      </w:pPr>
      <w:r>
        <w:rPr>
          <w:rFonts w:ascii="Arial" w:hAnsi="Arial"/>
          <w:i/>
          <w:color w:val="64748B"/>
          <w:sz w:val="22"/>
        </w:rPr>
        <w:t>Complete 5-Slide Presentation Deck, Timed Voiceover Script, Visual Assets &amp; Evaluation Metrics</w:t>
        <w:br/>
        <w:t>Prototype Demo Duration: 90 Seconds (1.5 Minutes)</w:t>
      </w:r>
    </w:p>
    <w:p>
      <w:pPr>
        <w:spacing w:before="280" w:after="40"/>
      </w:pPr>
      <w:r>
        <w:rPr>
          <w:rFonts w:ascii="Arial" w:hAnsi="Arial"/>
          <w:b/>
          <w:color w:val="0284C7"/>
          <w:sz w:val="26"/>
        </w:rPr>
        <w:t xml:space="preserve">[SLIDE 1]  </w:t>
      </w:r>
      <w:r>
        <w:rPr>
          <w:rFonts w:ascii="Arial" w:hAnsi="Arial"/>
          <w:b/>
          <w:color w:val="0F172A"/>
          <w:sz w:val="26"/>
        </w:rPr>
        <w:t>AeroTwin System Overview &amp; Digital Twin Framework</w:t>
      </w:r>
    </w:p>
    <w:p>
      <w:pPr>
        <w:spacing w:after="120"/>
      </w:pPr>
      <w:r>
        <w:rPr>
          <w:rFonts w:ascii="Arial" w:hAnsi="Arial"/>
          <w:b/>
          <w:color w:val="0E7490"/>
          <w:sz w:val="19"/>
        </w:rPr>
        <w:t>⏱ Duration: 0:00 – 0:18 (18 Seconds)</w:t>
      </w:r>
    </w:p>
    <w:p>
      <w:pPr>
        <w:spacing w:after="160"/>
        <w:jc w:val="center"/>
      </w:pPr>
    </w:p>
    <w:p>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slide1_system_overview_1790713206628.jpg"/>
                    <pic:cNvPicPr/>
                  </pic:nvPicPr>
                  <pic:blipFill>
                    <a:blip r:embed="rId9"/>
                    <a:stretch>
                      <a:fillRect/>
                    </a:stretch>
                  </pic:blipFill>
                  <pic:spPr>
                    <a:xfrm>
                      <a:off x="0" y="0"/>
                      <a:ext cx="5943600" cy="3317358"/>
                    </a:xfrm>
                    <a:prstGeom prst="rect"/>
                  </pic:spPr>
                </pic:pic>
              </a:graphicData>
            </a:graphic>
          </wp:inline>
        </w:drawing>
      </w:r>
    </w:p>
    <w:tbl>
      <w:tblPr>
        <w:tblW w:type="auto" w:w="0"/>
        <w:jc w:val="center"/>
        <w:tblLayout w:type="fixed"/>
        <w:tblLook w:firstColumn="1" w:firstRow="1" w:lastColumn="0" w:lastRow="0" w:noHBand="0" w:noVBand="1" w:val="04A0"/>
      </w:tblPr>
      <w:tblGrid>
        <w:gridCol w:w="5112"/>
        <w:gridCol w:w="5112"/>
      </w:tblGrid>
      <w:tr>
        <w:tc>
          <w:tcPr>
            <w:tcW w:type="dxa" w:w="2592"/>
            <w:shd w:val="clear" w:color="auto" w:fill="F1F5F9"/>
            <w:tcMar>
              <w:top w:w="80" w:type="dxa"/>
              <w:bottom w:w="80" w:type="dxa"/>
              <w:left w:w="100" w:type="dxa"/>
              <w:right w:w="100" w:type="dxa"/>
            </w:tcMar>
          </w:tcPr>
          <w:p>
            <w:r>
              <w:rPr>
                <w:rFonts w:ascii="Arial" w:hAnsi="Arial"/>
                <w:b/>
                <w:color w:val="0F172A"/>
                <w:sz w:val="18"/>
              </w:rPr>
              <w:t>🎙 Spoken Voiceover</w:t>
            </w:r>
          </w:p>
        </w:tc>
        <w:tc>
          <w:tcPr>
            <w:tcW w:type="dxa" w:w="6768"/>
            <w:shd w:val="clear" w:color="auto" w:fill="F8FAFC"/>
            <w:tcMar>
              <w:top w:w="80" w:type="dxa"/>
              <w:bottom w:w="80" w:type="dxa"/>
              <w:left w:w="100" w:type="dxa"/>
              <w:right w:w="100" w:type="dxa"/>
            </w:tcMar>
          </w:tcPr>
          <w:p>
            <w:r>
              <w:rPr>
                <w:rFonts w:ascii="Arial" w:hAnsi="Arial"/>
                <w:i/>
                <w:color w:val="1E293B"/>
                <w:sz w:val="17"/>
              </w:rPr>
              <w:t>"Welcome to AeroTwin — an AI-enabled real-time Digital Twin framework engineered for predictive health monitoring and mission reliability in MALE UAV aero piston engines. AeroTwin continuously ingests multi-channel telemetry to track engine degradation, detect emerging anomalies before catastrophic failure, and forecast Remaining Useful Life in real time."</w:t>
            </w:r>
          </w:p>
        </w:tc>
      </w:tr>
      <w:tr>
        <w:tc>
          <w:tcPr>
            <w:tcW w:type="dxa" w:w="2592"/>
            <w:shd w:val="clear" w:color="auto" w:fill="F1F5F9"/>
            <w:tcMar>
              <w:top w:w="80" w:type="dxa"/>
              <w:bottom w:w="80" w:type="dxa"/>
              <w:left w:w="100" w:type="dxa"/>
              <w:right w:w="100" w:type="dxa"/>
            </w:tcMar>
          </w:tcPr>
          <w:p>
            <w:r>
              <w:rPr>
                <w:rFonts w:ascii="Arial" w:hAnsi="Arial"/>
                <w:b/>
                <w:color w:val="0F172A"/>
                <w:sz w:val="18"/>
              </w:rPr>
              <w:t>🖥 Visual Action / Cue</w:t>
            </w:r>
          </w:p>
        </w:tc>
        <w:tc>
          <w:tcPr>
            <w:tcW w:type="dxa" w:w="6768"/>
            <w:shd w:val="clear" w:color="auto" w:fill="FFFFFF"/>
            <w:tcMar>
              <w:top w:w="80" w:type="dxa"/>
              <w:bottom w:w="80" w:type="dxa"/>
              <w:left w:w="100" w:type="dxa"/>
              <w:right w:w="100" w:type="dxa"/>
            </w:tcMar>
          </w:tcPr>
          <w:p>
            <w:r>
              <w:rPr>
                <w:rFonts w:ascii="Arial" w:hAnsi="Arial"/>
                <w:i w:val="0"/>
                <w:color w:val="1E293B"/>
                <w:sz w:val="17"/>
              </w:rPr>
              <w:t>Display full-screen AeroTwin UI header showing 'SYSTEM ONLINE' pulse, Model v1.0, and NASA C-MAPSS dataset badge with 3D MALE UAV wireframe sensor nodes.</w:t>
            </w:r>
          </w:p>
        </w:tc>
      </w:tr>
      <w:tr>
        <w:tc>
          <w:tcPr>
            <w:tcW w:type="dxa" w:w="2592"/>
            <w:shd w:val="clear" w:color="auto" w:fill="F1F5F9"/>
            <w:tcMar>
              <w:top w:w="80" w:type="dxa"/>
              <w:bottom w:w="80" w:type="dxa"/>
              <w:left w:w="100" w:type="dxa"/>
              <w:right w:w="100" w:type="dxa"/>
            </w:tcMar>
          </w:tcPr>
          <w:p>
            <w:r>
              <w:rPr>
                <w:rFonts w:ascii="Arial" w:hAnsi="Arial"/>
                <w:b/>
                <w:color w:val="0F172A"/>
                <w:sz w:val="18"/>
              </w:rPr>
              <w:t>📊 Key Numbers / Metrics</w:t>
            </w:r>
          </w:p>
        </w:tc>
        <w:tc>
          <w:tcPr>
            <w:tcW w:type="dxa" w:w="6768"/>
            <w:shd w:val="clear" w:color="auto" w:fill="F0FDFA"/>
            <w:tcMar>
              <w:top w:w="80" w:type="dxa"/>
              <w:bottom w:w="80" w:type="dxa"/>
              <w:left w:w="100" w:type="dxa"/>
              <w:right w:w="100" w:type="dxa"/>
            </w:tcMar>
          </w:tcPr>
          <w:p>
            <w:r>
              <w:rPr>
                <w:rFonts w:ascii="Arial" w:hAnsi="Arial"/>
                <w:i w:val="0"/>
                <w:color w:val="1E293B"/>
                <w:sz w:val="17"/>
              </w:rPr>
              <w:t>Surrogate Dataset: NASA C-MAPSS FD001 | Active Features: 14 Sensor Channels | Model Version: v1.0</w:t>
            </w:r>
          </w:p>
        </w:tc>
      </w:tr>
    </w:tbl>
    <w:p>
      <w:pPr>
        <w:spacing w:after="200"/>
      </w:pPr>
    </w:p>
    <w:p>
      <w:pPr>
        <w:spacing w:before="280" w:after="40"/>
      </w:pPr>
      <w:r>
        <w:rPr>
          <w:rFonts w:ascii="Arial" w:hAnsi="Arial"/>
          <w:b/>
          <w:color w:val="0284C7"/>
          <w:sz w:val="26"/>
        </w:rPr>
        <w:t xml:space="preserve">[SLIDE 2]  </w:t>
      </w:r>
      <w:r>
        <w:rPr>
          <w:rFonts w:ascii="Arial" w:hAnsi="Arial"/>
          <w:b/>
          <w:color w:val="0F172A"/>
          <w:sz w:val="26"/>
        </w:rPr>
        <w:t>Real-Time Telemetry Replay &amp; RUL Prognostics</w:t>
      </w:r>
    </w:p>
    <w:p>
      <w:pPr>
        <w:spacing w:after="120"/>
      </w:pPr>
      <w:r>
        <w:rPr>
          <w:rFonts w:ascii="Arial" w:hAnsi="Arial"/>
          <w:b/>
          <w:color w:val="0E7490"/>
          <w:sz w:val="19"/>
        </w:rPr>
        <w:t>⏱ Duration: 0:18 – 0:42 (24 Seconds)</w:t>
      </w:r>
    </w:p>
    <w:p>
      <w:pPr>
        <w:spacing w:after="160"/>
        <w:jc w:val="center"/>
      </w:pPr>
    </w:p>
    <w:p>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slide2_kpi_charts_1790713222662.jpg"/>
                    <pic:cNvPicPr/>
                  </pic:nvPicPr>
                  <pic:blipFill>
                    <a:blip r:embed="rId10"/>
                    <a:stretch>
                      <a:fillRect/>
                    </a:stretch>
                  </pic:blipFill>
                  <pic:spPr>
                    <a:xfrm>
                      <a:off x="0" y="0"/>
                      <a:ext cx="5943600" cy="3317358"/>
                    </a:xfrm>
                    <a:prstGeom prst="rect"/>
                  </pic:spPr>
                </pic:pic>
              </a:graphicData>
            </a:graphic>
          </wp:inline>
        </w:drawing>
      </w:r>
    </w:p>
    <w:tbl>
      <w:tblPr>
        <w:tblW w:type="auto" w:w="0"/>
        <w:jc w:val="center"/>
        <w:tblLayout w:type="fixed"/>
        <w:tblLook w:firstColumn="1" w:firstRow="1" w:lastColumn="0" w:lastRow="0" w:noHBand="0" w:noVBand="1" w:val="04A0"/>
      </w:tblPr>
      <w:tblGrid>
        <w:gridCol w:w="5112"/>
        <w:gridCol w:w="5112"/>
      </w:tblGrid>
      <w:tr>
        <w:tc>
          <w:tcPr>
            <w:tcW w:type="dxa" w:w="2592"/>
            <w:shd w:val="clear" w:color="auto" w:fill="F1F5F9"/>
            <w:tcMar>
              <w:top w:w="80" w:type="dxa"/>
              <w:bottom w:w="80" w:type="dxa"/>
              <w:left w:w="100" w:type="dxa"/>
              <w:right w:w="100" w:type="dxa"/>
            </w:tcMar>
          </w:tcPr>
          <w:p>
            <w:r>
              <w:rPr>
                <w:rFonts w:ascii="Arial" w:hAnsi="Arial"/>
                <w:b/>
                <w:color w:val="0F172A"/>
                <w:sz w:val="18"/>
              </w:rPr>
              <w:t>🎙 Spoken Voiceover</w:t>
            </w:r>
          </w:p>
        </w:tc>
        <w:tc>
          <w:tcPr>
            <w:tcW w:type="dxa" w:w="6768"/>
            <w:shd w:val="clear" w:color="auto" w:fill="F8FAFC"/>
            <w:tcMar>
              <w:top w:w="80" w:type="dxa"/>
              <w:bottom w:w="80" w:type="dxa"/>
              <w:left w:w="100" w:type="dxa"/>
              <w:right w:w="100" w:type="dxa"/>
            </w:tcMar>
          </w:tcPr>
          <w:p>
            <w:r>
              <w:rPr>
                <w:rFonts w:ascii="Arial" w:hAnsi="Arial"/>
                <w:i/>
                <w:color w:val="1E293B"/>
                <w:sz w:val="17"/>
              </w:rPr>
              <w:t>"Starting our historic telemetry replay engine at 1 Hz streaming frequency, the Digital Twin synchronizes with incoming engine sensor cycles. On screen, our Random Forest Regressor predicts the remaining useful operational cycles, dynamically computing an overall Health Index from 100% down to critical thresholds, as visualized in the real-time health and RUL degradation curves."</w:t>
            </w:r>
          </w:p>
        </w:tc>
      </w:tr>
      <w:tr>
        <w:tc>
          <w:tcPr>
            <w:tcW w:type="dxa" w:w="2592"/>
            <w:shd w:val="clear" w:color="auto" w:fill="F1F5F9"/>
            <w:tcMar>
              <w:top w:w="80" w:type="dxa"/>
              <w:bottom w:w="80" w:type="dxa"/>
              <w:left w:w="100" w:type="dxa"/>
              <w:right w:w="100" w:type="dxa"/>
            </w:tcMar>
          </w:tcPr>
          <w:p>
            <w:r>
              <w:rPr>
                <w:rFonts w:ascii="Arial" w:hAnsi="Arial"/>
                <w:b/>
                <w:color w:val="0F172A"/>
                <w:sz w:val="18"/>
              </w:rPr>
              <w:t>🖥 Visual Action / Cue</w:t>
            </w:r>
          </w:p>
        </w:tc>
        <w:tc>
          <w:tcPr>
            <w:tcW w:type="dxa" w:w="6768"/>
            <w:shd w:val="clear" w:color="auto" w:fill="FFFFFF"/>
            <w:tcMar>
              <w:top w:w="80" w:type="dxa"/>
              <w:bottom w:w="80" w:type="dxa"/>
              <w:left w:w="100" w:type="dxa"/>
              <w:right w:w="100" w:type="dxa"/>
            </w:tcMar>
          </w:tcPr>
          <w:p>
            <w:r>
              <w:rPr>
                <w:rFonts w:ascii="Arial" w:hAnsi="Arial"/>
                <w:i w:val="0"/>
                <w:color w:val="1E293B"/>
                <w:sz w:val="17"/>
              </w:rPr>
              <w:t>Click 'START REPLAY' button. Focus on the 4 KPI cards (Engine Health 94%, Predicted RUL 122 cycles, Anomaly Score -0.02, Degradation Trend Stable) and 2 real-time degradation trend curves.</w:t>
            </w:r>
          </w:p>
        </w:tc>
      </w:tr>
      <w:tr>
        <w:tc>
          <w:tcPr>
            <w:tcW w:type="dxa" w:w="2592"/>
            <w:shd w:val="clear" w:color="auto" w:fill="F1F5F9"/>
            <w:tcMar>
              <w:top w:w="80" w:type="dxa"/>
              <w:bottom w:w="80" w:type="dxa"/>
              <w:left w:w="100" w:type="dxa"/>
              <w:right w:w="100" w:type="dxa"/>
            </w:tcMar>
          </w:tcPr>
          <w:p>
            <w:r>
              <w:rPr>
                <w:rFonts w:ascii="Arial" w:hAnsi="Arial"/>
                <w:b/>
                <w:color w:val="0F172A"/>
                <w:sz w:val="18"/>
              </w:rPr>
              <w:t>📊 Key Numbers / Metrics</w:t>
            </w:r>
          </w:p>
        </w:tc>
        <w:tc>
          <w:tcPr>
            <w:tcW w:type="dxa" w:w="6768"/>
            <w:shd w:val="clear" w:color="auto" w:fill="F0FDFA"/>
            <w:tcMar>
              <w:top w:w="80" w:type="dxa"/>
              <w:bottom w:w="80" w:type="dxa"/>
              <w:left w:w="100" w:type="dxa"/>
              <w:right w:w="100" w:type="dxa"/>
            </w:tcMar>
          </w:tcPr>
          <w:p>
            <w:r>
              <w:rPr>
                <w:rFonts w:ascii="Arial" w:hAnsi="Arial"/>
                <w:i w:val="0"/>
                <w:color w:val="1E293B"/>
                <w:sz w:val="17"/>
              </w:rPr>
              <w:t>Streaming Replay Frequency: 1.0 Hz | Health Index Formula: (RUL / 130) * 100% | RUL Piecewise Cap: 130 cycles</w:t>
            </w:r>
          </w:p>
        </w:tc>
      </w:tr>
      <w:tr>
        <w:tc>
          <w:tcPr>
            <w:tcW w:type="dxa" w:w="2592"/>
            <w:shd w:val="clear" w:color="auto" w:fill="F1F5F9"/>
            <w:tcMar>
              <w:top w:w="80" w:type="dxa"/>
              <w:bottom w:w="80" w:type="dxa"/>
              <w:left w:w="100" w:type="dxa"/>
              <w:right w:w="100" w:type="dxa"/>
            </w:tcMar>
          </w:tcPr>
          <w:p>
            <w:r>
              <w:rPr>
                <w:rFonts w:ascii="Arial" w:hAnsi="Arial"/>
                <w:b/>
                <w:color w:val="0F172A"/>
                <w:sz w:val="18"/>
              </w:rPr>
              <w:t>💻 Core Code Snippet</w:t>
            </w:r>
          </w:p>
        </w:tc>
        <w:tc>
          <w:tcPr>
            <w:tcW w:type="dxa" w:w="6768"/>
            <w:shd w:val="clear" w:color="auto" w:fill="F8FAFC"/>
            <w:tcMar>
              <w:top w:w="80" w:type="dxa"/>
              <w:bottom w:w="80" w:type="dxa"/>
              <w:left w:w="100" w:type="dxa"/>
              <w:right w:w="100" w:type="dxa"/>
            </w:tcMar>
          </w:tcPr>
          <w:p>
            <w:r>
              <w:rPr>
                <w:rFonts w:ascii="Courier New" w:hAnsi="Courier New"/>
                <w:i w:val="0"/>
                <w:color w:val="1E293B"/>
                <w:sz w:val="17"/>
              </w:rPr>
              <w:t>health_index = max(0.0, min(100.0, (rul_pred / 130.0) * 100.0))</w:t>
              <w:br/>
              <w:t>if is_anomaly:</w:t>
              <w:br/>
              <w:t xml:space="preserve">    health_index = max(0.0, health_index - 15.0)  # Dynamic penalty</w:t>
            </w:r>
          </w:p>
        </w:tc>
      </w:tr>
    </w:tbl>
    <w:p>
      <w:pPr>
        <w:spacing w:after="200"/>
      </w:pPr>
    </w:p>
    <w:p>
      <w:pPr>
        <w:spacing w:before="280" w:after="40"/>
      </w:pPr>
      <w:r>
        <w:rPr>
          <w:rFonts w:ascii="Arial" w:hAnsi="Arial"/>
          <w:b/>
          <w:color w:val="0284C7"/>
          <w:sz w:val="26"/>
        </w:rPr>
        <w:t xml:space="preserve">[SLIDE 3]  </w:t>
      </w:r>
      <w:r>
        <w:rPr>
          <w:rFonts w:ascii="Arial" w:hAnsi="Arial"/>
          <w:b/>
          <w:color w:val="0F172A"/>
          <w:sz w:val="26"/>
        </w:rPr>
        <w:t>Anomaly Detection &amp; Explainable AI (XAI) Diagnostics</w:t>
      </w:r>
    </w:p>
    <w:p>
      <w:pPr>
        <w:spacing w:after="120"/>
      </w:pPr>
      <w:r>
        <w:rPr>
          <w:rFonts w:ascii="Arial" w:hAnsi="Arial"/>
          <w:b/>
          <w:color w:val="0E7490"/>
          <w:sz w:val="19"/>
        </w:rPr>
        <w:t>⏱ Duration: 0:42 – 1:05 (23 Seconds)</w:t>
      </w:r>
    </w:p>
    <w:p>
      <w:pPr>
        <w:spacing w:after="160"/>
        <w:jc w:val="center"/>
      </w:pPr>
    </w:p>
    <w:p>
      <w:r>
        <w:drawing>
          <wp:inline xmlns:a="http://schemas.openxmlformats.org/drawingml/2006/main" xmlns:pic="http://schemas.openxmlformats.org/drawingml/2006/picture">
            <wp:extent cx="5943600" cy="3317358"/>
            <wp:docPr id="3" name="Picture 3"/>
            <wp:cNvGraphicFramePr>
              <a:graphicFrameLocks noChangeAspect="1"/>
            </wp:cNvGraphicFramePr>
            <a:graphic>
              <a:graphicData uri="http://schemas.openxmlformats.org/drawingml/2006/picture">
                <pic:pic>
                  <pic:nvPicPr>
                    <pic:cNvPr id="0" name="slide3_xai_anomaly_1790713236330.jpg"/>
                    <pic:cNvPicPr/>
                  </pic:nvPicPr>
                  <pic:blipFill>
                    <a:blip r:embed="rId11"/>
                    <a:stretch>
                      <a:fillRect/>
                    </a:stretch>
                  </pic:blipFill>
                  <pic:spPr>
                    <a:xfrm>
                      <a:off x="0" y="0"/>
                      <a:ext cx="5943600" cy="3317358"/>
                    </a:xfrm>
                    <a:prstGeom prst="rect"/>
                  </pic:spPr>
                </pic:pic>
              </a:graphicData>
            </a:graphic>
          </wp:inline>
        </w:drawing>
      </w:r>
    </w:p>
    <w:tbl>
      <w:tblPr>
        <w:tblW w:type="auto" w:w="0"/>
        <w:jc w:val="center"/>
        <w:tblLayout w:type="fixed"/>
        <w:tblLook w:firstColumn="1" w:firstRow="1" w:lastColumn="0" w:lastRow="0" w:noHBand="0" w:noVBand="1" w:val="04A0"/>
      </w:tblPr>
      <w:tblGrid>
        <w:gridCol w:w="5112"/>
        <w:gridCol w:w="5112"/>
      </w:tblGrid>
      <w:tr>
        <w:tc>
          <w:tcPr>
            <w:tcW w:type="dxa" w:w="2592"/>
            <w:shd w:val="clear" w:color="auto" w:fill="F1F5F9"/>
            <w:tcMar>
              <w:top w:w="80" w:type="dxa"/>
              <w:bottom w:w="80" w:type="dxa"/>
              <w:left w:w="100" w:type="dxa"/>
              <w:right w:w="100" w:type="dxa"/>
            </w:tcMar>
          </w:tcPr>
          <w:p>
            <w:r>
              <w:rPr>
                <w:rFonts w:ascii="Arial" w:hAnsi="Arial"/>
                <w:b/>
                <w:color w:val="0F172A"/>
                <w:sz w:val="18"/>
              </w:rPr>
              <w:t>🎙 Spoken Voiceover</w:t>
            </w:r>
          </w:p>
        </w:tc>
        <w:tc>
          <w:tcPr>
            <w:tcW w:type="dxa" w:w="6768"/>
            <w:shd w:val="clear" w:color="auto" w:fill="F8FAFC"/>
            <w:tcMar>
              <w:top w:w="80" w:type="dxa"/>
              <w:bottom w:w="80" w:type="dxa"/>
              <w:left w:w="100" w:type="dxa"/>
              <w:right w:w="100" w:type="dxa"/>
            </w:tcMar>
          </w:tcPr>
          <w:p>
            <w:r>
              <w:rPr>
                <w:rFonts w:ascii="Arial" w:hAnsi="Arial"/>
                <w:i/>
                <w:color w:val="1E293B"/>
                <w:sz w:val="17"/>
              </w:rPr>
              <w:t>"When sensor drift occurs, our background Isolation Forest model flags anomalous patterns and calculates the severity level. Crucially, AeroTwin provides Explainable AI: the side panel instantly reveals the top contributing sensor anomalies and drift percentages, giving ground-station operators actionable root-cause diagnostics instead of a black-box alert."</w:t>
            </w:r>
          </w:p>
        </w:tc>
      </w:tr>
      <w:tr>
        <w:tc>
          <w:tcPr>
            <w:tcW w:type="dxa" w:w="2592"/>
            <w:shd w:val="clear" w:color="auto" w:fill="F1F5F9"/>
            <w:tcMar>
              <w:top w:w="80" w:type="dxa"/>
              <w:bottom w:w="80" w:type="dxa"/>
              <w:left w:w="100" w:type="dxa"/>
              <w:right w:w="100" w:type="dxa"/>
            </w:tcMar>
          </w:tcPr>
          <w:p>
            <w:r>
              <w:rPr>
                <w:rFonts w:ascii="Arial" w:hAnsi="Arial"/>
                <w:b/>
                <w:color w:val="0F172A"/>
                <w:sz w:val="18"/>
              </w:rPr>
              <w:t>🖥 Visual Action / Cue</w:t>
            </w:r>
          </w:p>
        </w:tc>
        <w:tc>
          <w:tcPr>
            <w:tcW w:type="dxa" w:w="6768"/>
            <w:shd w:val="clear" w:color="auto" w:fill="FFFFFF"/>
            <w:tcMar>
              <w:top w:w="80" w:type="dxa"/>
              <w:bottom w:w="80" w:type="dxa"/>
              <w:left w:w="100" w:type="dxa"/>
              <w:right w:w="100" w:type="dxa"/>
            </w:tcMar>
          </w:tcPr>
          <w:p>
            <w:r>
              <w:rPr>
                <w:rFonts w:ascii="Arial" w:hAnsi="Arial"/>
                <w:i w:val="0"/>
                <w:color w:val="1E293B"/>
                <w:sz w:val="17"/>
              </w:rPr>
              <w:t>Health Card transitions to '38% CRITICAL' (Red Alert) with Severity HIGH. Zoom in on 'WHY WAS THIS ALERT GENERATED?' XAI bar chart showing sensor_11 (84%), sensor_14 (62%), and sensor_9 (45%) drift.</w:t>
            </w:r>
          </w:p>
        </w:tc>
      </w:tr>
      <w:tr>
        <w:tc>
          <w:tcPr>
            <w:tcW w:type="dxa" w:w="2592"/>
            <w:shd w:val="clear" w:color="auto" w:fill="F1F5F9"/>
            <w:tcMar>
              <w:top w:w="80" w:type="dxa"/>
              <w:bottom w:w="80" w:type="dxa"/>
              <w:left w:w="100" w:type="dxa"/>
              <w:right w:w="100" w:type="dxa"/>
            </w:tcMar>
          </w:tcPr>
          <w:p>
            <w:r>
              <w:rPr>
                <w:rFonts w:ascii="Arial" w:hAnsi="Arial"/>
                <w:b/>
                <w:color w:val="0F172A"/>
                <w:sz w:val="18"/>
              </w:rPr>
              <w:t>📊 Key Numbers / Metrics</w:t>
            </w:r>
          </w:p>
        </w:tc>
        <w:tc>
          <w:tcPr>
            <w:tcW w:type="dxa" w:w="6768"/>
            <w:shd w:val="clear" w:color="auto" w:fill="F0FDFA"/>
            <w:tcMar>
              <w:top w:w="80" w:type="dxa"/>
              <w:bottom w:w="80" w:type="dxa"/>
              <w:left w:w="100" w:type="dxa"/>
              <w:right w:w="100" w:type="dxa"/>
            </w:tcMar>
          </w:tcPr>
          <w:p>
            <w:r>
              <w:rPr>
                <w:rFonts w:ascii="Arial" w:hAnsi="Arial"/>
                <w:i w:val="0"/>
                <w:color w:val="1E293B"/>
                <w:sz w:val="17"/>
              </w:rPr>
              <w:t>Isolation Forest Contamination: 1.0% (n=100 estimators) | XAI Logic: Absolute Normalized Deviation Scoring | Real-time Root Cause Ranking: Top 3 Sensors</w:t>
            </w:r>
          </w:p>
        </w:tc>
      </w:tr>
      <w:tr>
        <w:tc>
          <w:tcPr>
            <w:tcW w:type="dxa" w:w="2592"/>
            <w:shd w:val="clear" w:color="auto" w:fill="F1F5F9"/>
            <w:tcMar>
              <w:top w:w="80" w:type="dxa"/>
              <w:bottom w:w="80" w:type="dxa"/>
              <w:left w:w="100" w:type="dxa"/>
              <w:right w:w="100" w:type="dxa"/>
            </w:tcMar>
          </w:tcPr>
          <w:p>
            <w:r>
              <w:rPr>
                <w:rFonts w:ascii="Arial" w:hAnsi="Arial"/>
                <w:b/>
                <w:color w:val="0F172A"/>
                <w:sz w:val="18"/>
              </w:rPr>
              <w:t>💻 Core Code Snippet</w:t>
            </w:r>
          </w:p>
        </w:tc>
        <w:tc>
          <w:tcPr>
            <w:tcW w:type="dxa" w:w="6768"/>
            <w:shd w:val="clear" w:color="auto" w:fill="F8FAFC"/>
            <w:tcMar>
              <w:top w:w="80" w:type="dxa"/>
              <w:bottom w:w="80" w:type="dxa"/>
              <w:left w:w="100" w:type="dxa"/>
              <w:right w:w="100" w:type="dxa"/>
            </w:tcMar>
          </w:tcPr>
          <w:p>
            <w:r>
              <w:rPr>
                <w:rFonts w:ascii="Courier New" w:hAnsi="Courier New"/>
                <w:i w:val="0"/>
                <w:color w:val="1E293B"/>
                <w:sz w:val="17"/>
              </w:rPr>
              <w:t>deviations = np.abs(x_df.values[0] - 0.5)</w:t>
              <w:br/>
              <w:t>top_indices = deviations.argsort()[-3:][::-1]</w:t>
              <w:br/>
              <w:t>explanation = [ExplanationPoint(feature=features[i], importance=float(deviations[i])) for i in top_indices]</w:t>
            </w:r>
          </w:p>
        </w:tc>
      </w:tr>
    </w:tbl>
    <w:p>
      <w:pPr>
        <w:spacing w:after="200"/>
      </w:pPr>
    </w:p>
    <w:p>
      <w:pPr>
        <w:spacing w:before="280" w:after="40"/>
      </w:pPr>
      <w:r>
        <w:rPr>
          <w:rFonts w:ascii="Arial" w:hAnsi="Arial"/>
          <w:b/>
          <w:color w:val="0284C7"/>
          <w:sz w:val="26"/>
        </w:rPr>
        <w:t xml:space="preserve">[SLIDE 4]  </w:t>
      </w:r>
      <w:r>
        <w:rPr>
          <w:rFonts w:ascii="Arial" w:hAnsi="Arial"/>
          <w:b/>
          <w:color w:val="0F172A"/>
          <w:sz w:val="26"/>
        </w:rPr>
        <w:t>Quantitative Evaluation Metrics &amp; Backend Architecture</w:t>
      </w:r>
    </w:p>
    <w:p>
      <w:pPr>
        <w:spacing w:after="120"/>
      </w:pPr>
      <w:r>
        <w:rPr>
          <w:rFonts w:ascii="Arial" w:hAnsi="Arial"/>
          <w:b/>
          <w:color w:val="0E7490"/>
          <w:sz w:val="19"/>
        </w:rPr>
        <w:t>⏱ Duration: 1:05 – 1:22 (17 Seconds)</w:t>
      </w:r>
    </w:p>
    <w:p>
      <w:pPr>
        <w:spacing w:after="160"/>
        <w:jc w:val="center"/>
      </w:pPr>
    </w:p>
    <w:p>
      <w:r>
        <w:drawing>
          <wp:inline xmlns:a="http://schemas.openxmlformats.org/drawingml/2006/main" xmlns:pic="http://schemas.openxmlformats.org/drawingml/2006/picture">
            <wp:extent cx="5943600" cy="3317358"/>
            <wp:docPr id="4" name="Picture 4"/>
            <wp:cNvGraphicFramePr>
              <a:graphicFrameLocks noChangeAspect="1"/>
            </wp:cNvGraphicFramePr>
            <a:graphic>
              <a:graphicData uri="http://schemas.openxmlformats.org/drawingml/2006/picture">
                <pic:pic>
                  <pic:nvPicPr>
                    <pic:cNvPr id="0" name="slide4_metrics_code_1790713250657.jpg"/>
                    <pic:cNvPicPr/>
                  </pic:nvPicPr>
                  <pic:blipFill>
                    <a:blip r:embed="rId12"/>
                    <a:stretch>
                      <a:fillRect/>
                    </a:stretch>
                  </pic:blipFill>
                  <pic:spPr>
                    <a:xfrm>
                      <a:off x="0" y="0"/>
                      <a:ext cx="5943600" cy="3317358"/>
                    </a:xfrm>
                    <a:prstGeom prst="rect"/>
                  </pic:spPr>
                </pic:pic>
              </a:graphicData>
            </a:graphic>
          </wp:inline>
        </w:drawing>
      </w:r>
    </w:p>
    <w:tbl>
      <w:tblPr>
        <w:tblW w:type="auto" w:w="0"/>
        <w:jc w:val="center"/>
        <w:tblLayout w:type="fixed"/>
        <w:tblLook w:firstColumn="1" w:firstRow="1" w:lastColumn="0" w:lastRow="0" w:noHBand="0" w:noVBand="1" w:val="04A0"/>
      </w:tblPr>
      <w:tblGrid>
        <w:gridCol w:w="5112"/>
        <w:gridCol w:w="5112"/>
      </w:tblGrid>
      <w:tr>
        <w:tc>
          <w:tcPr>
            <w:tcW w:type="dxa" w:w="2592"/>
            <w:shd w:val="clear" w:color="auto" w:fill="F1F5F9"/>
            <w:tcMar>
              <w:top w:w="80" w:type="dxa"/>
              <w:bottom w:w="80" w:type="dxa"/>
              <w:left w:w="100" w:type="dxa"/>
              <w:right w:w="100" w:type="dxa"/>
            </w:tcMar>
          </w:tcPr>
          <w:p>
            <w:r>
              <w:rPr>
                <w:rFonts w:ascii="Arial" w:hAnsi="Arial"/>
                <w:b/>
                <w:color w:val="0F172A"/>
                <w:sz w:val="18"/>
              </w:rPr>
              <w:t>🎙 Spoken Voiceover</w:t>
            </w:r>
          </w:p>
        </w:tc>
        <w:tc>
          <w:tcPr>
            <w:tcW w:type="dxa" w:w="6768"/>
            <w:shd w:val="clear" w:color="auto" w:fill="F8FAFC"/>
            <w:tcMar>
              <w:top w:w="80" w:type="dxa"/>
              <w:bottom w:w="80" w:type="dxa"/>
              <w:left w:w="100" w:type="dxa"/>
              <w:right w:w="100" w:type="dxa"/>
            </w:tcMar>
          </w:tcPr>
          <w:p>
            <w:r>
              <w:rPr>
                <w:rFonts w:ascii="Arial" w:hAnsi="Arial"/>
                <w:i/>
                <w:color w:val="1E293B"/>
                <w:sz w:val="17"/>
              </w:rPr>
              <w:t>"Under the hood, the backend is built with FastAPI and scikit-learn. Validated against multi-cycle run-to-failure benchmark datasets across 14 normalized sensor channels, our RUL model achieves a strong R² score of 0.8029, a Mean Absolute Error of 13.00 cycles, and an RMSE of 18.06 cycles."</w:t>
            </w:r>
          </w:p>
        </w:tc>
      </w:tr>
      <w:tr>
        <w:tc>
          <w:tcPr>
            <w:tcW w:type="dxa" w:w="2592"/>
            <w:shd w:val="clear" w:color="auto" w:fill="F1F5F9"/>
            <w:tcMar>
              <w:top w:w="80" w:type="dxa"/>
              <w:bottom w:w="80" w:type="dxa"/>
              <w:left w:w="100" w:type="dxa"/>
              <w:right w:w="100" w:type="dxa"/>
            </w:tcMar>
          </w:tcPr>
          <w:p>
            <w:r>
              <w:rPr>
                <w:rFonts w:ascii="Arial" w:hAnsi="Arial"/>
                <w:b/>
                <w:color w:val="0F172A"/>
                <w:sz w:val="18"/>
              </w:rPr>
              <w:t>🖥 Visual Action / Cue</w:t>
            </w:r>
          </w:p>
        </w:tc>
        <w:tc>
          <w:tcPr>
            <w:tcW w:type="dxa" w:w="6768"/>
            <w:shd w:val="clear" w:color="auto" w:fill="FFFFFF"/>
            <w:tcMar>
              <w:top w:w="80" w:type="dxa"/>
              <w:bottom w:w="80" w:type="dxa"/>
              <w:left w:w="100" w:type="dxa"/>
              <w:right w:w="100" w:type="dxa"/>
            </w:tcMar>
          </w:tcPr>
          <w:p>
            <w:r>
              <w:rPr>
                <w:rFonts w:ascii="Arial" w:hAnsi="Arial"/>
                <w:i w:val="0"/>
                <w:color w:val="1E293B"/>
                <w:sz w:val="17"/>
              </w:rPr>
              <w:t>Showcase prominent Evaluation Metric cards (R² = 0.8029, MAE = 13.00 cycles, RMSE = 18.06 cycles) alongside FastAPI endpoint code and Scikit-Learn training pipelines.</w:t>
            </w:r>
          </w:p>
        </w:tc>
      </w:tr>
      <w:tr>
        <w:tc>
          <w:tcPr>
            <w:tcW w:type="dxa" w:w="2592"/>
            <w:shd w:val="clear" w:color="auto" w:fill="F1F5F9"/>
            <w:tcMar>
              <w:top w:w="80" w:type="dxa"/>
              <w:bottom w:w="80" w:type="dxa"/>
              <w:left w:w="100" w:type="dxa"/>
              <w:right w:w="100" w:type="dxa"/>
            </w:tcMar>
          </w:tcPr>
          <w:p>
            <w:r>
              <w:rPr>
                <w:rFonts w:ascii="Arial" w:hAnsi="Arial"/>
                <w:b/>
                <w:color w:val="0F172A"/>
                <w:sz w:val="18"/>
              </w:rPr>
              <w:t>📊 Key Numbers / Metrics</w:t>
            </w:r>
          </w:p>
        </w:tc>
        <w:tc>
          <w:tcPr>
            <w:tcW w:type="dxa" w:w="6768"/>
            <w:shd w:val="clear" w:color="auto" w:fill="F0FDFA"/>
            <w:tcMar>
              <w:top w:w="80" w:type="dxa"/>
              <w:bottom w:w="80" w:type="dxa"/>
              <w:left w:w="100" w:type="dxa"/>
              <w:right w:w="100" w:type="dxa"/>
            </w:tcMar>
          </w:tcPr>
          <w:p>
            <w:r>
              <w:rPr>
                <w:rFonts w:ascii="Arial" w:hAnsi="Arial"/>
                <w:i w:val="0"/>
                <w:color w:val="1E293B"/>
                <w:sz w:val="17"/>
              </w:rPr>
              <w:t>R² Score: 0.8029 (80.29% Variance Explained) | MAE: 13.00 cycles | RMSE: 18.06 cycles | Model: Random Forest Regressor (n_estimators=100, max_depth=10)</w:t>
            </w:r>
          </w:p>
        </w:tc>
      </w:tr>
      <w:tr>
        <w:tc>
          <w:tcPr>
            <w:tcW w:type="dxa" w:w="2592"/>
            <w:shd w:val="clear" w:color="auto" w:fill="F1F5F9"/>
            <w:tcMar>
              <w:top w:w="80" w:type="dxa"/>
              <w:bottom w:w="80" w:type="dxa"/>
              <w:left w:w="100" w:type="dxa"/>
              <w:right w:w="100" w:type="dxa"/>
            </w:tcMar>
          </w:tcPr>
          <w:p>
            <w:r>
              <w:rPr>
                <w:rFonts w:ascii="Arial" w:hAnsi="Arial"/>
                <w:b/>
                <w:color w:val="0F172A"/>
                <w:sz w:val="18"/>
              </w:rPr>
              <w:t>💻 Core Code Snippet</w:t>
            </w:r>
          </w:p>
        </w:tc>
        <w:tc>
          <w:tcPr>
            <w:tcW w:type="dxa" w:w="6768"/>
            <w:shd w:val="clear" w:color="auto" w:fill="F8FAFC"/>
            <w:tcMar>
              <w:top w:w="80" w:type="dxa"/>
              <w:bottom w:w="80" w:type="dxa"/>
              <w:left w:w="100" w:type="dxa"/>
              <w:right w:w="100" w:type="dxa"/>
            </w:tcMar>
          </w:tcPr>
          <w:p>
            <w:r>
              <w:rPr>
                <w:rFonts w:ascii="Courier New" w:hAnsi="Courier New"/>
                <w:i w:val="0"/>
                <w:color w:val="1E293B"/>
                <w:sz w:val="17"/>
              </w:rPr>
              <w:t>@app.get('/api/twin/{engine_id}', response_model=EngineTwinState)</w:t>
              <w:br/>
              <w:t>def get_twin_state(engine_id: str):</w:t>
              <w:br/>
              <w:t xml:space="preserve">    state = twin_engine.get_state(engine_id)</w:t>
              <w:br/>
              <w:t xml:space="preserve">    return state</w:t>
            </w:r>
          </w:p>
        </w:tc>
      </w:tr>
    </w:tbl>
    <w:p>
      <w:pPr>
        <w:spacing w:after="200"/>
      </w:pPr>
    </w:p>
    <w:p>
      <w:pPr>
        <w:spacing w:before="280" w:after="40"/>
      </w:pPr>
      <w:r>
        <w:rPr>
          <w:rFonts w:ascii="Arial" w:hAnsi="Arial"/>
          <w:b/>
          <w:color w:val="0284C7"/>
          <w:sz w:val="26"/>
        </w:rPr>
        <w:t xml:space="preserve">[SLIDE 5]  </w:t>
      </w:r>
      <w:r>
        <w:rPr>
          <w:rFonts w:ascii="Arial" w:hAnsi="Arial"/>
          <w:b/>
          <w:color w:val="0F172A"/>
          <w:sz w:val="26"/>
        </w:rPr>
        <w:t>Mission Reliability Impact &amp; Strategic Readiness</w:t>
      </w:r>
    </w:p>
    <w:p>
      <w:pPr>
        <w:spacing w:after="120"/>
      </w:pPr>
      <w:r>
        <w:rPr>
          <w:rFonts w:ascii="Arial" w:hAnsi="Arial"/>
          <w:b/>
          <w:color w:val="0E7490"/>
          <w:sz w:val="19"/>
        </w:rPr>
        <w:t>⏱ Duration: 1:22 – 1:35 (13 Seconds)</w:t>
      </w:r>
    </w:p>
    <w:p>
      <w:pPr>
        <w:spacing w:after="160"/>
        <w:jc w:val="center"/>
      </w:pPr>
    </w:p>
    <w:p>
      <w:r>
        <w:drawing>
          <wp:inline xmlns:a="http://schemas.openxmlformats.org/drawingml/2006/main" xmlns:pic="http://schemas.openxmlformats.org/drawingml/2006/picture">
            <wp:extent cx="5943600" cy="3317358"/>
            <wp:docPr id="5" name="Picture 5"/>
            <wp:cNvGraphicFramePr>
              <a:graphicFrameLocks noChangeAspect="1"/>
            </wp:cNvGraphicFramePr>
            <a:graphic>
              <a:graphicData uri="http://schemas.openxmlformats.org/drawingml/2006/picture">
                <pic:pic>
                  <pic:nvPicPr>
                    <pic:cNvPr id="0" name="slide5_mission_impact_1790713268041.jpg"/>
                    <pic:cNvPicPr/>
                  </pic:nvPicPr>
                  <pic:blipFill>
                    <a:blip r:embed="rId13"/>
                    <a:stretch>
                      <a:fillRect/>
                    </a:stretch>
                  </pic:blipFill>
                  <pic:spPr>
                    <a:xfrm>
                      <a:off x="0" y="0"/>
                      <a:ext cx="5943600" cy="3317358"/>
                    </a:xfrm>
                    <a:prstGeom prst="rect"/>
                  </pic:spPr>
                </pic:pic>
              </a:graphicData>
            </a:graphic>
          </wp:inline>
        </w:drawing>
      </w:r>
    </w:p>
    <w:tbl>
      <w:tblPr>
        <w:tblW w:type="auto" w:w="0"/>
        <w:jc w:val="center"/>
        <w:tblLayout w:type="fixed"/>
        <w:tblLook w:firstColumn="1" w:firstRow="1" w:lastColumn="0" w:lastRow="0" w:noHBand="0" w:noVBand="1" w:val="04A0"/>
      </w:tblPr>
      <w:tblGrid>
        <w:gridCol w:w="5112"/>
        <w:gridCol w:w="5112"/>
      </w:tblGrid>
      <w:tr>
        <w:tc>
          <w:tcPr>
            <w:tcW w:type="dxa" w:w="2592"/>
            <w:shd w:val="clear" w:color="auto" w:fill="F1F5F9"/>
            <w:tcMar>
              <w:top w:w="80" w:type="dxa"/>
              <w:bottom w:w="80" w:type="dxa"/>
              <w:left w:w="100" w:type="dxa"/>
              <w:right w:w="100" w:type="dxa"/>
            </w:tcMar>
          </w:tcPr>
          <w:p>
            <w:r>
              <w:rPr>
                <w:rFonts w:ascii="Arial" w:hAnsi="Arial"/>
                <w:b/>
                <w:color w:val="0F172A"/>
                <w:sz w:val="18"/>
              </w:rPr>
              <w:t>🎙 Spoken Voiceover</w:t>
            </w:r>
          </w:p>
        </w:tc>
        <w:tc>
          <w:tcPr>
            <w:tcW w:type="dxa" w:w="6768"/>
            <w:shd w:val="clear" w:color="auto" w:fill="F8FAFC"/>
            <w:tcMar>
              <w:top w:w="80" w:type="dxa"/>
              <w:bottom w:w="80" w:type="dxa"/>
              <w:left w:w="100" w:type="dxa"/>
              <w:right w:w="100" w:type="dxa"/>
            </w:tcMar>
          </w:tcPr>
          <w:p>
            <w:r>
              <w:rPr>
                <w:rFonts w:ascii="Arial" w:hAnsi="Arial"/>
                <w:i/>
                <w:color w:val="1E293B"/>
                <w:sz w:val="17"/>
              </w:rPr>
              <w:t>"By transitioning UAV maintenance from reactive schedules to real-time predictive digital twinning, AeroTwin prevents in-flight engine failures and maximizes fleet availability. Thank you."</w:t>
            </w:r>
          </w:p>
        </w:tc>
      </w:tr>
      <w:tr>
        <w:tc>
          <w:tcPr>
            <w:tcW w:type="dxa" w:w="2592"/>
            <w:shd w:val="clear" w:color="auto" w:fill="F1F5F9"/>
            <w:tcMar>
              <w:top w:w="80" w:type="dxa"/>
              <w:bottom w:w="80" w:type="dxa"/>
              <w:left w:w="100" w:type="dxa"/>
              <w:right w:w="100" w:type="dxa"/>
            </w:tcMar>
          </w:tcPr>
          <w:p>
            <w:r>
              <w:rPr>
                <w:rFonts w:ascii="Arial" w:hAnsi="Arial"/>
                <w:b/>
                <w:color w:val="0F172A"/>
                <w:sz w:val="18"/>
              </w:rPr>
              <w:t>🖥 Visual Action / Cue</w:t>
            </w:r>
          </w:p>
        </w:tc>
        <w:tc>
          <w:tcPr>
            <w:tcW w:type="dxa" w:w="6768"/>
            <w:shd w:val="clear" w:color="auto" w:fill="FFFFFF"/>
            <w:tcMar>
              <w:top w:w="80" w:type="dxa"/>
              <w:bottom w:w="80" w:type="dxa"/>
              <w:left w:w="100" w:type="dxa"/>
              <w:right w:w="100" w:type="dxa"/>
            </w:tcMar>
          </w:tcPr>
          <w:p>
            <w:r>
              <w:rPr>
                <w:rFonts w:ascii="Arial" w:hAnsi="Arial"/>
                <w:i w:val="0"/>
                <w:color w:val="1E293B"/>
                <w:sz w:val="17"/>
              </w:rPr>
              <w:t>Full operational MALE UAV flight visual with 3 mission impact banners: Zero In-Flight Engine Failures, Fleet Availability +40%, and Condition-Based Maintenance Paradigm.</w:t>
            </w:r>
          </w:p>
        </w:tc>
      </w:tr>
      <w:tr>
        <w:tc>
          <w:tcPr>
            <w:tcW w:type="dxa" w:w="2592"/>
            <w:shd w:val="clear" w:color="auto" w:fill="F1F5F9"/>
            <w:tcMar>
              <w:top w:w="80" w:type="dxa"/>
              <w:bottom w:w="80" w:type="dxa"/>
              <w:left w:w="100" w:type="dxa"/>
              <w:right w:w="100" w:type="dxa"/>
            </w:tcMar>
          </w:tcPr>
          <w:p>
            <w:r>
              <w:rPr>
                <w:rFonts w:ascii="Arial" w:hAnsi="Arial"/>
                <w:b/>
                <w:color w:val="0F172A"/>
                <w:sz w:val="18"/>
              </w:rPr>
              <w:t>📊 Key Numbers / Metrics</w:t>
            </w:r>
          </w:p>
        </w:tc>
        <w:tc>
          <w:tcPr>
            <w:tcW w:type="dxa" w:w="6768"/>
            <w:shd w:val="clear" w:color="auto" w:fill="F0FDFA"/>
            <w:tcMar>
              <w:top w:w="80" w:type="dxa"/>
              <w:bottom w:w="80" w:type="dxa"/>
              <w:left w:w="100" w:type="dxa"/>
              <w:right w:w="100" w:type="dxa"/>
            </w:tcMar>
          </w:tcPr>
          <w:p>
            <w:r>
              <w:rPr>
                <w:rFonts w:ascii="Arial" w:hAnsi="Arial"/>
                <w:i w:val="0"/>
                <w:color w:val="1E293B"/>
                <w:sz w:val="17"/>
              </w:rPr>
              <w:t>Target UAV Platform: MALE Tactical UAVs (Rotax / Austro Aero Piston Engines) | Maintenance Shift: Scheduled Time-Based -&gt; Condition-Based Predictive Twin</w:t>
            </w:r>
          </w:p>
        </w:tc>
      </w:tr>
    </w:tbl>
    <w:p>
      <w:pPr>
        <w:spacing w:after="20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