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9"/>
          <w:sz w:val="40"/>
          <w:szCs w:val="40"/>
        </w:rPr>
        <w:t xml:space="preserve">ProofOps</w:t>
      </w:r>
    </w:p>
    <w:p>
      <w:pPr>
        <w:spacing w:after="120"/>
      </w:pPr>
      <w:r>
        <w:rPr>
          <w:rFonts w:ascii="Calibri" w:cs="Calibri" w:eastAsia="Calibri" w:hAnsi="Calibri"/>
          <w:color w:val="404040"/>
          <w:sz w:val="26"/>
          <w:szCs w:val="26"/>
        </w:rPr>
        <w:t xml:space="preserve">Don’t just name the root cause. Prove it. Evidence-contracted cloud incident diagnosis with a hybrid knowledge graph and an AI agent</w:t>
      </w:r>
    </w:p>
    <w:p>
      <w:pPr>
        <w:pBdr>
          <w:bottom w:val="single" w:color="1F4E79" w:sz="6" w:space="4"/>
        </w:pBdr>
        <w:spacing w:after="240"/>
      </w:pPr>
      <w:r>
        <w:rPr>
          <w:b/>
          <w:bCs/>
          <w:color w:val="595959"/>
          <w:sz w:val="20"/>
          <w:szCs w:val="20"/>
        </w:rPr>
        <w:t xml:space="preserve">Course:</w:t>
      </w:r>
      <w:r>
        <w:rPr>
          <w:color w:val="595959"/>
          <w:sz w:val="20"/>
          <w:szCs w:val="20"/>
        </w:rPr>
        <w:t xml:space="preserve"> DAMG 6310, Knowledge Graphs with GenAI/DBs, Fall 2026   |   </w:t>
      </w:r>
      <w:r>
        <w:rPr>
          <w:b/>
          <w:bCs/>
          <w:color w:val="595959"/>
          <w:sz w:val="20"/>
          <w:szCs w:val="20"/>
        </w:rPr>
        <w:t xml:space="preserve">Team:</w:t>
      </w:r>
      <w:r>
        <w:rPr>
          <w:color w:val="595959"/>
          <w:sz w:val="20"/>
          <w:szCs w:val="20"/>
        </w:rPr>
        <w:t xml:space="preserve"> Divesh Naik, Nikhil Kachhela   |   </w:t>
      </w:r>
      <w:r>
        <w:rPr>
          <w:b/>
          <w:bCs/>
          <w:color w:val="595959"/>
          <w:sz w:val="20"/>
          <w:szCs w:val="20"/>
        </w:rPr>
        <w:t xml:space="preserve">Date:</w:t>
      </w:r>
      <w:r>
        <w:rPr>
          <w:color w:val="595959"/>
          <w:sz w:val="20"/>
          <w:szCs w:val="20"/>
        </w:rPr>
        <w:t xml:space="preserve"> October 2026</w:t>
      </w:r>
    </w:p>
    <w:p>
      <w:pPr>
        <w:pStyle w:val="Heading1"/>
      </w:pPr>
      <w:r>
        <w:t xml:space="preserve">1. The Problem, in One Story</w:t>
      </w:r>
    </w:p>
    <w:p>
      <w:pPr>
        <w:spacing w:after="120"/>
      </w:pPr>
      <w:r>
        <w:t xml:space="preserve">It’s 2 a.m. and checkout is timing out. The on-call engineer asks an AI agent what’s wrong, and it answers confidently: “The database.” The engineer restarts the database. Nothing changes.</w:t>
      </w:r>
    </w:p>
    <w:p>
      <w:pPr>
        <w:spacing w:after="120"/>
      </w:pPr>
      <w:r>
        <w:t xml:space="preserve">The real cause was a deployment an hour earlier that lowered the database’s connection limit. The agent named a plausible suspect, but it never checked the timing, never followed the dependency chain, and never looked for a second signal that would confirm or rule it out.</w:t>
      </w:r>
    </w:p>
    <w:p>
      <w:pPr>
        <w:spacing w:after="120"/>
      </w:pPr>
      <w:r>
        <w:t xml:space="preserve">This is not a rare failure; research has measured it:</w:t>
      </w:r>
    </w:p>
    <w:p>
      <w:pPr>
        <w:pStyle w:val="ListParagraph"/>
        <w:numPr>
          <w:ilvl w:val="0"/>
          <w:numId w:val="2"/>
        </w:numPr>
        <w:spacing w:after="60"/>
      </w:pPr>
      <w:r>
        <w:t xml:space="preserve">On </w:t>
      </w:r>
      <w:r>
        <w:rPr>
          <w:b/>
          <w:bCs/>
        </w:rPr>
        <w:t xml:space="preserve">Cloud-OpsBench</w:t>
      </w:r>
      <w:r>
        <w:t xml:space="preserve">, a reproducible benchmark of Kubernetes faults, the best agents identify the right root cause in roughly three cases out of four, but complete the supporting chain of evidence in fewer than two out of five.</w:t>
      </w:r>
    </w:p>
    <w:p>
      <w:pPr>
        <w:pStyle w:val="ListParagraph"/>
        <w:numPr>
          <w:ilvl w:val="0"/>
          <w:numId w:val="2"/>
        </w:numPr>
        <w:spacing w:after="60"/>
      </w:pPr>
      <w:r>
        <w:t xml:space="preserve">A failure analysis of </w:t>
      </w:r>
      <w:r>
        <w:rPr>
          <w:b/>
          <w:bCs/>
        </w:rPr>
        <w:t xml:space="preserve">1,675 agent runs</w:t>
      </w:r>
      <w:r>
        <w:t xml:space="preserve"> on the OpenRCA benchmark found that hallucinated interpretation of data and incomplete exploration persisted across every model tested, regardless of capability.</w:t>
      </w:r>
    </w:p>
    <w:p>
      <w:pPr>
        <w:spacing w:after="120"/>
      </w:pPr>
      <w:r>
        <w:t xml:space="preserve">In other words, agents are getting better at guessing, but they still don’t show their work. In operations, an unproven root cause is how a team ends up fixing the wrong thing.</w:t>
      </w:r>
    </w:p>
    <w:p>
      <w:pPr>
        <w:pStyle w:val="Heading1"/>
      </w:pPr>
      <w:r>
        <w:t xml:space="preserve">2. Our Idea: An Evidence Contract for Every Diagnosis</w:t>
      </w:r>
    </w:p>
    <w:p>
      <w:pPr>
        <w:spacing w:after="120"/>
      </w:pPr>
      <w:r>
        <w:t xml:space="preserve">ProofOps gives every fault type a </w:t>
      </w:r>
      <w:r>
        <w:rPr>
          <w:b/>
          <w:bCs/>
        </w:rPr>
        <w:t xml:space="preserve">definition of done</w:t>
      </w:r>
      <w:r>
        <w:t xml:space="preserve">. Before an agent may call a cause </w:t>
      </w:r>
      <w:r>
        <w:rPr>
          <w:i/>
          <w:iCs/>
        </w:rPr>
        <w:t xml:space="preserve">supported</w:t>
      </w:r>
      <w:r>
        <w:t xml:space="preserve">, three things must be established and each must cite its source:</w:t>
      </w:r>
    </w:p>
    <w:p>
      <w:pPr>
        <w:pStyle w:val="ListParagraph"/>
        <w:numPr>
          <w:ilvl w:val="0"/>
          <w:numId w:val="3"/>
        </w:numPr>
        <w:spacing w:after="60"/>
      </w:pPr>
      <w:r>
        <w:rPr>
          <w:b/>
          <w:bCs/>
        </w:rPr>
        <w:t xml:space="preserve">It happened first.</w:t>
      </w:r>
      <w:r>
        <w:t xml:space="preserve"> The suspected cause occurred before the symptoms began.</w:t>
      </w:r>
    </w:p>
    <w:p>
      <w:pPr>
        <w:pStyle w:val="ListParagraph"/>
        <w:numPr>
          <w:ilvl w:val="0"/>
          <w:numId w:val="3"/>
        </w:numPr>
        <w:spacing w:after="60"/>
      </w:pPr>
      <w:r>
        <w:rPr>
          <w:b/>
          <w:bCs/>
        </w:rPr>
        <w:t xml:space="preserve">It is connected.</w:t>
      </w:r>
      <w:r>
        <w:t xml:space="preserve"> A dependency path links the affected resource to the failing service.</w:t>
      </w:r>
    </w:p>
    <w:p>
      <w:pPr>
        <w:pStyle w:val="ListParagraph"/>
        <w:numPr>
          <w:ilvl w:val="0"/>
          <w:numId w:val="3"/>
        </w:numPr>
        <w:spacing w:after="60"/>
      </w:pPr>
      <w:r>
        <w:rPr>
          <w:b/>
          <w:bCs/>
        </w:rPr>
        <w:t xml:space="preserve">Something else agrees.</w:t>
      </w:r>
      <w:r>
        <w:t xml:space="preserve"> A corroborating signal of a different kind backs it up, such as a log error confirming a metric anomaly.</w:t>
      </w:r>
    </w:p>
    <w:p>
      <w:pPr>
        <w:spacing w:after="120"/>
      </w:pPr>
      <w:r>
        <w:t xml:space="preserve">If the contract is satisfied, the diagnosis is </w:t>
      </w:r>
      <w:r>
        <w:rPr>
          <w:b/>
          <w:bCs/>
        </w:rPr>
        <w:t xml:space="preserve">supported</w:t>
      </w:r>
      <w:r>
        <w:t xml:space="preserve">. If not, it is reported as </w:t>
      </w:r>
      <w:r>
        <w:rPr>
          <w:b/>
          <w:bCs/>
        </w:rPr>
        <w:t xml:space="preserve">plausible</w:t>
      </w:r>
      <w:r>
        <w:t xml:space="preserve">, along with exactly what is missing (“no corroborating log signal yet”), so the engineer knows what to check next rather than acting on a guess.</w:t>
      </w:r>
    </w:p>
    <w:p>
      <w:pPr>
        <w:spacing w:after="120"/>
      </w:pPr>
      <w:r>
        <w:t xml:space="preserve">We build ProofOps on a hybrid knowledge graph: the incident as a time-ordered graph of services, Kubernetes resources, changes, and signals, plus an ontology of fault types whose evidence contracts are written in SHACL.</w:t>
      </w:r>
    </w:p>
    <w:p>
      <w:pPr>
        <w:pStyle w:val="Heading1"/>
      </w:pPr>
      <w:r>
        <w:t xml:space="preserve">3. Who It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User</w:t>
            </w:r>
          </w:p>
        </w:tc>
        <w:tc>
          <w:tcPr>
            <w:tcW w:type="dxa" w:w="6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they get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On-call engineers (SREs)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diagnosis with its full evidence chain, and a clear list of what is still unproven before they act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Platform and DevOps teams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kinds of changes (configuration edits, deployments, scaling) caused past incidents of each fault type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Reliability leads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check that every incident review’s root-cause statement meets the evidence standard before it is closed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AIOps researchers and tool builders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way to compare diagnostic agents on evidence completeness, not just on whether the final answer happened to be right</w:t>
            </w:r>
          </w:p>
        </w:tc>
      </w:tr>
    </w:tbl>
    <w:p>
      <w:pPr>
        <w:spacing w:after="80"/>
      </w:pPr>
    </w:p>
    <w:p>
      <w:pPr>
        <w:spacing w:after="120"/>
      </w:pPr>
      <w:r>
        <w:t xml:space="preserve">There is real commercial pull here: AI agents for site reliability are being built and sold today, and “can we trust what the agent concluded?” is the question every buyer asks.</w:t>
      </w:r>
    </w:p>
    <w:p>
      <w:pPr>
        <w:pStyle w:val="Heading1"/>
      </w:pPr>
      <w:r>
        <w:t xml:space="preserve">4. Why a Knowledge Graph, and Why Both Stacks</w:t>
      </w:r>
    </w:p>
    <w:p>
      <w:pPr>
        <w:spacing w:after="120"/>
      </w:pPr>
      <w:r>
        <w:t xml:space="preserve">A root cause is not a single fact; it is a </w:t>
      </w:r>
      <w:r>
        <w:rPr>
          <w:b/>
          <w:bCs/>
        </w:rPr>
        <w:t xml:space="preserve">path through time-ordered dependencies</w:t>
      </w:r>
      <w:r>
        <w:t xml:space="preserve">. In our featured case:</w:t>
      </w:r>
    </w:p>
    <w:p>
      <w:pPr>
        <w:shd w:fill="F2F2F2" w:color="auto" w:val="clear"/>
        <w:spacing w:after="120" w:before="60"/>
        <w:ind w:left="200"/>
      </w:pPr>
      <w:r>
        <w:rPr>
          <w:rFonts w:ascii="Consolas" w:cs="Consolas" w:eastAsia="Consolas" w:hAnsi="Consolas"/>
          <w:sz w:val="19"/>
          <w:szCs w:val="19"/>
        </w:rPr>
        <w:t xml:space="preserve">Config change (10:02) —MODIFIED→ ConfigMap redis-config —MOUNTED_BY→ Pod redis-cart —USED_BY→ cartservice —CALLED_BY→ frontend (timeouts from 10:15)</w:t>
      </w:r>
    </w:p>
    <w:p>
      <w:pPr>
        <w:spacing w:after="120"/>
      </w:pPr>
      <w:r>
        <w:t xml:space="preserve">(The service names are from Online Boutique; the timeline is illustrative.) Whether that path </w:t>
      </w:r>
      <w:r>
        <w:rPr>
          <w:i/>
          <w:iCs/>
        </w:rPr>
        <w:t xml:space="preserve">proves</w:t>
      </w:r>
      <w:r>
        <w:t xml:space="preserve"> anything depends on three more things the path alone cannot tell you: the ordering in time, the kind of fault, and whether independent evidence agrees. That is why we need both graph stacks:</w:t>
      </w:r>
    </w:p>
    <w:p>
      <w:pPr>
        <w:pStyle w:val="ListParagraph"/>
        <w:numPr>
          <w:ilvl w:val="0"/>
          <w:numId w:val="2"/>
        </w:numPr>
        <w:spacing w:after="60"/>
      </w:pPr>
      <w:r>
        <w:rPr>
          <w:b/>
          <w:bCs/>
        </w:rPr>
        <w:t xml:space="preserve">Neo4j (property graph)</w:t>
      </w:r>
      <w:r>
        <w:t xml:space="preserve"> stores what was </w:t>
      </w:r>
      <w:r>
        <w:rPr>
          <w:b/>
          <w:bCs/>
        </w:rPr>
        <w:t xml:space="preserve">observed</w:t>
      </w:r>
      <w:r>
        <w:t xml:space="preserve">: services, pods, nodes, configuration objects, deployments, events, alerts, log signatures, and metric anomalies, all with timestamps. The agent uses Cypher to find paths and orderings. Across incidents, Neo4j also stores the agent’s hypotheses and steps, so graph algorithms can show which fault types and dependency patterns agents most often get wrong.</w:t>
      </w:r>
    </w:p>
    <w:p>
      <w:pPr>
        <w:pStyle w:val="ListParagraph"/>
        <w:numPr>
          <w:ilvl w:val="0"/>
          <w:numId w:val="2"/>
        </w:numPr>
        <w:spacing w:after="60"/>
      </w:pPr>
      <w:r>
        <w:rPr>
          <w:b/>
          <w:bCs/>
        </w:rPr>
        <w:t xml:space="preserve">GraphDB and Protégé (RDF/OWL)</w:t>
      </w:r>
      <w:r>
        <w:t xml:space="preserve"> store what the evidence </w:t>
      </w:r>
      <w:r>
        <w:rPr>
          <w:b/>
          <w:bCs/>
        </w:rPr>
        <w:t xml:space="preserve">means</w:t>
      </w:r>
      <w:r>
        <w:t xml:space="preserve">: a taxonomy of fault types across Kubernetes layers, evidence types, and diagnostic statuses. OWL reasoning lets specific fault types inherit requirements from broader ones; for example, connection-pool exhaustion inherits from resource exhaustion. SHACL shapes express each evidence contract, SPARQL checks which evidence exists, and PROV-O links every piece of evidence to the tool call and snapshot it came from.</w:t>
      </w:r>
    </w:p>
    <w:p>
      <w:pPr>
        <w:spacing w:after="120"/>
      </w:pPr>
      <w:r>
        <w:rPr>
          <w:b/>
          <w:bCs/>
        </w:rPr>
        <w:t xml:space="preserve">Put simply: Neo4j finds the path; the ontology decides whether the path counts as proof.</w:t>
      </w:r>
      <w:r>
        <w:t xml:space="preserve"> OWL and SHACL are the decision gate, not decoration.</w:t>
      </w:r>
    </w:p>
    <w:p>
      <w:pPr>
        <w:pStyle w:val="Heading1"/>
      </w:pPr>
      <w:r>
        <w:t xml:space="preserve">5. The Data</w:t>
      </w:r>
    </w:p>
    <w:p>
      <w:pPr>
        <w:spacing w:after="120"/>
      </w:pPr>
      <w:r>
        <w:t xml:space="preserve">We use </w:t>
      </w:r>
      <w:r>
        <w:rPr>
          <w:b/>
          <w:bCs/>
        </w:rPr>
        <w:t xml:space="preserve">Cloud-OpsBench</w:t>
      </w:r>
      <w:r>
        <w:t xml:space="preserve"> (Wang et al., 2026), which is publicly released on GitHub and Hugging Face under the MIT license. The current release contains </w:t>
      </w:r>
      <w:r>
        <w:rPr>
          <w:b/>
          <w:bCs/>
        </w:rPr>
        <w:t xml:space="preserve">754 fault cases across 57 fault types</w:t>
      </w:r>
      <w:r>
        <w:t xml:space="preserve"> on two microservice systems: Online Boutique (550 cases) and TrainTicket (204 cases).</w:t>
      </w:r>
    </w:p>
    <w:p>
      <w:pPr>
        <w:spacing w:after="120"/>
      </w:pPr>
      <w:r>
        <w:t xml:space="preserve">Each case is a frozen </w:t>
      </w:r>
      <w:r>
        <w:rPr>
          <w:b/>
          <w:bCs/>
        </w:rPr>
        <w:t xml:space="preserve">state snapshot</w:t>
      </w:r>
      <w:r>
        <w:t xml:space="preserve">:</w:t>
      </w:r>
    </w:p>
    <w:p>
      <w:pPr>
        <w:pStyle w:val="ListParagraph"/>
        <w:numPr>
          <w:ilvl w:val="0"/>
          <w:numId w:val="2"/>
        </w:numPr>
        <w:spacing w:after="60"/>
      </w:pPr>
      <w:r>
        <w:t xml:space="preserve">Kubernetes resource states, events, logs, alerts, and available metrics</w:t>
      </w:r>
    </w:p>
    <w:p>
      <w:pPr>
        <w:pStyle w:val="ListParagraph"/>
        <w:numPr>
          <w:ilvl w:val="0"/>
          <w:numId w:val="2"/>
        </w:numPr>
        <w:spacing w:after="60"/>
      </w:pPr>
      <w:r>
        <w:t xml:space="preserve">Cached responses from the diagnostic tools</w:t>
      </w:r>
    </w:p>
    <w:p>
      <w:pPr>
        <w:pStyle w:val="ListParagraph"/>
        <w:numPr>
          <w:ilvl w:val="0"/>
          <w:numId w:val="2"/>
        </w:numPr>
        <w:spacing w:after="60"/>
      </w:pPr>
      <w:r>
        <w:t xml:space="preserve">Ground-truth root cause, plus process labels with the evidence a correct diagnosis should establish</w:t>
      </w:r>
    </w:p>
    <w:p>
      <w:pPr>
        <w:spacing w:after="120"/>
      </w:pPr>
      <w:r>
        <w:t xml:space="preserve">Cases replay without a live cluster, and the benchmark ships with diagnostic tools, an MCP interface, and an evaluator. This means we spend our time on the knowledge graph rather than infrastructure. It also directly answers the feedback that our first proposal’s data was uncertain: here the ground truth is verified.</w:t>
      </w:r>
    </w:p>
    <w:p>
      <w:pPr>
        <w:spacing w:after="120"/>
      </w:pPr>
      <w:r>
        <w:rPr>
          <w:b/>
          <w:bCs/>
        </w:rPr>
        <w:t xml:space="preserve">Rule we will not break:</w:t>
      </w:r>
      <w:r>
        <w:t xml:space="preserve"> ground-truth fields, process labels, and expert trajectories are used </w:t>
      </w:r>
      <w:r>
        <w:rPr>
          <w:b/>
          <w:bCs/>
        </w:rPr>
        <w:t xml:space="preserve">only for scoring</w:t>
      </w:r>
      <w:r>
        <w:t xml:space="preserve">. They are never shown to the agent and never used to write contracts.</w:t>
      </w:r>
    </w:p>
    <w:p>
      <w:pPr>
        <w:pStyle w:val="Heading1"/>
      </w:pPr>
      <w:r>
        <w:t xml:space="preserve">6. What We Will Build This Semester</w:t>
      </w:r>
    </w:p>
    <w:p>
      <w:pPr>
        <w:pStyle w:val="ListParagraph"/>
        <w:numPr>
          <w:ilvl w:val="0"/>
          <w:numId w:val="2"/>
        </w:numPr>
        <w:spacing w:after="60"/>
      </w:pPr>
      <w:r>
        <w:rPr>
          <w:b/>
          <w:bCs/>
        </w:rPr>
        <w:t xml:space="preserve">Graphs:</w:t>
      </w:r>
      <w:r>
        <w:t xml:space="preserve"> time-ordered dependency graphs for about 60–80 Online Boutique cases, split into a development set (about 20%) for writing contracts and a held-out test set.</w:t>
      </w:r>
    </w:p>
    <w:p>
      <w:pPr>
        <w:pStyle w:val="ListParagraph"/>
        <w:numPr>
          <w:ilvl w:val="0"/>
          <w:numId w:val="2"/>
        </w:numPr>
        <w:spacing w:after="60"/>
      </w:pPr>
      <w:r>
        <w:rPr>
          <w:b/>
          <w:bCs/>
        </w:rPr>
        <w:t xml:space="preserve">Ontology:</w:t>
      </w:r>
      <w:r>
        <w:t xml:space="preserve"> 40–60 concepts (fault types, resources, evidence types, diagnostic statuses), aligned with PROV-O.</w:t>
      </w:r>
    </w:p>
    <w:p>
      <w:pPr>
        <w:pStyle w:val="ListParagraph"/>
        <w:numPr>
          <w:ilvl w:val="0"/>
          <w:numId w:val="2"/>
        </w:numPr>
        <w:spacing w:after="60"/>
      </w:pPr>
      <w:r>
        <w:rPr>
          <w:b/>
          <w:bCs/>
        </w:rPr>
        <w:t xml:space="preserve">Evidence contracts:</w:t>
      </w:r>
      <w:r>
        <w:t xml:space="preserve"> SHACL shapes for the 6–8 most frequent fault types whose evidence is actually present in the snapshots (checked first).</w:t>
      </w:r>
    </w:p>
    <w:p>
      <w:pPr>
        <w:pStyle w:val="ListParagraph"/>
        <w:numPr>
          <w:ilvl w:val="0"/>
          <w:numId w:val="2"/>
        </w:numPr>
        <w:spacing w:after="60"/>
      </w:pPr>
      <w:r>
        <w:rPr>
          <w:b/>
          <w:bCs/>
        </w:rPr>
        <w:t xml:space="preserve">LLM extraction and entity resolution:</w:t>
      </w:r>
      <w:r>
        <w:t xml:space="preserve"> the LLM turns raw log lines into typed evidence (e.g., “connection refused” → connection-failure signal). Entity resolution maps names such as cartservice-7d9f8-x2k (a pod) to its ReplicaSet and Deployment. We measure both.</w:t>
      </w:r>
    </w:p>
    <w:p>
      <w:pPr>
        <w:pStyle w:val="ListParagraph"/>
        <w:numPr>
          <w:ilvl w:val="0"/>
          <w:numId w:val="2"/>
        </w:numPr>
        <w:spacing w:after="60"/>
      </w:pPr>
      <w:r>
        <w:rPr>
          <w:b/>
          <w:bCs/>
        </w:rPr>
        <w:t xml:space="preserve">Agent:</w:t>
      </w:r>
      <w:r>
        <w:t xml:space="preserve"> three conditions to compare (standard tool-using agent, graph-guided agent, ProofOps), with tools exposed through MCP; a contract-only ablation as a stretch goal.</w:t>
      </w:r>
    </w:p>
    <w:p>
      <w:pPr>
        <w:pStyle w:val="ListParagraph"/>
        <w:numPr>
          <w:ilvl w:val="0"/>
          <w:numId w:val="2"/>
        </w:numPr>
        <w:spacing w:after="60"/>
      </w:pPr>
      <w:r>
        <w:rPr>
          <w:b/>
          <w:bCs/>
        </w:rPr>
        <w:t xml:space="preserve">Interface:</w:t>
      </w:r>
      <w:r>
        <w:t xml:space="preserve"> a simple view of each diagnosis, its evidence chain, and anything missing.</w:t>
      </w:r>
    </w:p>
    <w:p>
      <w:pPr>
        <w:pStyle w:val="Heading2"/>
      </w:pPr>
      <w:r>
        <w:t xml:space="preserve">Following the ontology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Stage</w:t>
            </w:r>
          </w:p>
        </w:tc>
        <w:tc>
          <w:tcPr>
            <w:tcW w:type="dxa" w:w="6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ProofOps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Controlled vocabulary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Fault types, evidence types, diagnostic statuses (supported, plausible, refuted)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Metadata schema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Fields for resources, events, signals, and evidence items (time, source, tool call)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Taxonomy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Fault types grouped by Kubernetes layer: admission, scheduling, startup, runtime, service, performance, infrastructure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Thesaurus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Equivalent log messages and alert names (e.g., several wordings that all mean “connection pool exhausted”)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Ontology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OWL classes and inheritance of evidence requirements; SHACL contracts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Knowledge graph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Per-incident graphs in Neo4j, linked to their RDF descriptions in GraphDB</w:t>
            </w:r>
          </w:p>
        </w:tc>
      </w:tr>
    </w:tbl>
    <w:p>
      <w:pPr>
        <w:pStyle w:val="Heading1"/>
      </w:pPr>
      <w:r>
        <w:t xml:space="preserve">7. Questions the System Must Answer</w:t>
      </w:r>
    </w:p>
    <w:p>
      <w:pPr>
        <w:spacing w:after="120"/>
      </w:pPr>
      <w:r>
        <w:t xml:space="preserve">We maintain 16 competency questions; these eight are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60"/>
        <w:gridCol w:w="2600"/>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t>
            </w:r>
          </w:p>
        </w:tc>
        <w:tc>
          <w:tcPr>
            <w:tcW w:type="dxa" w:w="6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Question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Answered by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CQ1</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resources lie on a dependency path from a changed resource to the service showing symptoms?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Cypher (multi-hop)</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changes happened before symptom onset, in time order?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Cypher (temporal)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upstream dependencies also show anomalies, and which began first?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Cypher (temporal)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evidence must exist before a cause of this fault type can be called supported?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SPARQL over the ontology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Does this diagnosis satisfy its contract, and if not, what is missing?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SHACL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CQ6</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specific fault types inherit the requirements of a broader category?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OWL reasoning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CQ7</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 any piece of evidence, which tool call and snapshot produced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SPARQL over PROV-O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CQ8</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“Why is checkout slow, and what proves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(Cypher, SPARQL, SHACL tools)</w:t>
            </w:r>
          </w:p>
        </w:tc>
      </w:tr>
    </w:tbl>
    <w:p>
      <w:pPr>
        <w:pStyle w:val="Heading1"/>
      </w:pPr>
      <w:r>
        <w:t xml:space="preserve">8. Research Question and How We Will Know It Worked</w:t>
      </w:r>
    </w:p>
    <w:p>
      <w:pPr>
        <w:spacing w:after="120"/>
      </w:pPr>
      <w:r>
        <w:rPr>
          <w:b/>
          <w:bCs/>
        </w:rPr>
        <w:t xml:space="preserve">Research question:</w:t>
      </w:r>
      <w:r>
        <w:t xml:space="preserve"> Can semantic evidence contracts over a temporal dependency graph increase evidence-complete root-cause diagnosis by an AI agent, without reducing diagnostic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Hypothesis</w:t>
            </w:r>
          </w:p>
        </w:tc>
        <w:tc>
          <w:tcPr>
            <w:tcW w:type="dxa" w:w="7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we expect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ProofOps completes the evidence chain more often than the standard and graph-guided agents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root-cause accuracy is not meaningfully lower than the best comparison agent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 reports fewer diagnoses that lack sufficient evidence</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Its extra cost (tool calls, tokens, time) stays within a reported, practical bound</w:t>
            </w:r>
          </w:p>
        </w:tc>
      </w:tr>
    </w:tbl>
    <w:p>
      <w:pPr>
        <w:spacing w:after="80"/>
      </w:pPr>
    </w:p>
    <w:p>
      <w:pPr>
        <w:spacing w:after="120"/>
      </w:pPr>
      <w:r>
        <w:rPr>
          <w:b/>
          <w:bCs/>
        </w:rPr>
        <w:t xml:space="preserve">Metrics:</w:t>
      </w:r>
      <w:r>
        <w:t xml:space="preserve"> root-cause accuracy, evidence closure, unsupported-diagnosis rate, abstention quality (was “more evidence needed” the right call?), and cost per case. All conditions use the same model and tool budget, with two runs per case, reported overall and by fault type.</w:t>
      </w:r>
    </w:p>
    <w:p>
      <w:pPr>
        <w:spacing w:after="120"/>
      </w:pPr>
      <w:r>
        <w:rPr>
          <w:b/>
          <w:bCs/>
        </w:rPr>
        <w:t xml:space="preserve">Keeping it affordable:</w:t>
      </w:r>
      <w:r>
        <w:t xml:space="preserve"> agent experiments are expensive. The failure-analysis study above needed about 610 hours of wall-clock time for its runs. We will use a small, inexpensive model, measure the cost of five runs before scaling, and size the experiment to fit.</w:t>
      </w:r>
    </w:p>
    <w:p>
      <w:pPr>
        <w:pStyle w:val="Heading1"/>
      </w:pPr>
      <w:r>
        <w:t xml:space="preserve">9. What Already Exists, and What We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Prior work</w:t>
            </w:r>
          </w:p>
        </w:tc>
        <w:tc>
          <w:tcPr>
            <w:tcW w:type="dxa" w:w="3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it does</w:t>
            </w:r>
          </w:p>
        </w:tc>
        <w:tc>
          <w:tcPr>
            <w:tcW w:type="dxa" w:w="3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ProofOps adds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Cloud-OpsBench</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Benchmark that scores both the answer and the investigation process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method that enforces evidence completeness, evaluated on that benchmark</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PRAXIS</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traverses service and code dependency graphs to find failures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Constraints on what the agent may conclude, not only on how it searches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MetaRCA</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Reusable causal knowledge graph built from LLMs, fault reports, and monitoring data</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Formal, checkable evidence requirements per fault type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OpenRCA failure analysis</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Taxonomy of why diagnostic agents fail</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direct intervention against incomplete exploration, with measured effect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Evidence-grounded benchmarks</w:t>
            </w:r>
            <w:r>
              <w:t xml:space="preserve"> (2026)</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Score diagnoses against required evidence after the fact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Enforcement </w:t>
            </w:r>
            <w:r>
              <w:rPr>
                <w:i/>
                <w:iCs/>
              </w:rPr>
              <w:t xml:space="preserve">at decision time</w:t>
            </w:r>
            <w:r>
              <w:t xml:space="preserve">, inside the agent loop, using OWL and SHACL</w:t>
            </w:r>
          </w:p>
        </w:tc>
      </w:tr>
    </w:tbl>
    <w:p>
      <w:pPr>
        <w:spacing w:after="80"/>
      </w:pPr>
    </w:p>
    <w:p>
      <w:pPr>
        <w:spacing w:after="120"/>
      </w:pPr>
      <w:r>
        <w:t xml:space="preserve">To our knowledge, no prior work uses an OWL and SHACL evidence contract to control when a diagnostic agent may report a root cause. We will confirm this with a fuller literature review before the midpoint.</w:t>
      </w:r>
    </w:p>
    <w:p>
      <w:pPr>
        <w:pStyle w:val="Heading1"/>
      </w:pPr>
      <w:r>
        <w:t xml:space="preserve">10. How We Responded to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we heard</w:t>
            </w:r>
          </w:p>
        </w:tc>
        <w:tc>
          <w:tcPr>
            <w:tcW w:type="dxa" w:w="60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How ProofOps answers it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problem statement was too general</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precise research question, four testable hypotheses, and a controlled comparison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Public data might not contain enough information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public benchmark with verified ground truth; no scraping and no guessing what the data says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 deeper, into the layers underneath</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Diagnosis traced across layers, from a configuration change to a resource, a service, and the user-facing symptom</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is this a graph problem?</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root cause is a path through time-ordered dependencies, and whether it is proven depends on the path, the timing, and independent evidence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Think in a multidimensional way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same symptom points to different causes depending on the layer, the timing, and recent changes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 expectations for a two-person team</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graph stacks used fully, and a controlled experiment with clear metrics</w:t>
            </w:r>
          </w:p>
        </w:tc>
      </w:tr>
    </w:tbl>
    <w:p>
      <w:pPr>
        <w:pStyle w:val="Heading1"/>
      </w:pPr>
      <w:r>
        <w:t xml:space="preserve">11. Risks, and What We Will Do About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Risk</w:t>
            </w:r>
          </w:p>
        </w:tc>
        <w:tc>
          <w:tcPr>
            <w:tcW w:type="dxa" w:w="5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Our plan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Some snapshots lack evidence a contract needs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evidence availability first and choose fault types where it exists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 runs are slow and costly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Small model, measured pilot of five runs, bounded case count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Circular results (contracts tuned to the answers)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Contracts written from Kubernetes documentation before looking at held-out cases; benchmark labels used only for scoring</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Snapshot data is mostly structured, leaving little for an LLM to extract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LLM log-to-evidence extraction and entity resolution as measured components</w:t>
            </w:r>
          </w:p>
        </w:tc>
      </w:tr>
    </w:tbl>
    <w:p>
      <w:pPr>
        <w:pStyle w:val="Heading1"/>
      </w:pPr>
      <w:r>
        <w:t xml:space="preserve">12.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Week</w:t>
            </w:r>
          </w:p>
        </w:tc>
        <w:tc>
          <w:tcPr>
            <w:tcW w:type="dxa" w:w="7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Deliverable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Download the benchmark; inspect cases; run the benchmark’s own agent on five cases; confirm evidence for chosen fault types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Graph builder for Neo4j; fault-type ontology in Protégé; first SHACL contract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8: midpoint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demo on about ten cases: the agent proposes a cause and the contract returns supported, or plausible with the missing evidence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9–10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contracts; log extraction and entity resolution; agent with Cypher, SPARQL, and SHACL tools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Agentic layer complete; experiment runs automated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experiment and analysis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Research paper presentation (anchor: Cloud-OpsBench)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14: final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Results and live demo</w:t>
            </w:r>
          </w:p>
        </w:tc>
      </w:tr>
    </w:tbl>
    <w:p>
      <w:pPr>
        <w:pStyle w:val="Heading1"/>
      </w:pPr>
      <w:r>
        <w:t xml:space="preserve">13. Where We Are Today</w:t>
      </w:r>
    </w:p>
    <w:p>
      <w:pPr>
        <w:pStyle w:val="ListParagraph"/>
        <w:numPr>
          <w:ilvl w:val="0"/>
          <w:numId w:val="2"/>
        </w:numPr>
        <w:spacing w:after="60"/>
      </w:pPr>
      <w:r>
        <w:t xml:space="preserve">Evaluated several alternatives (CleanSport, EligibleXI, and a cross-provider cloud dependency graph) and selected ProofOps, because it has verified data and a measurable research question.</w:t>
      </w:r>
    </w:p>
    <w:p>
      <w:pPr>
        <w:pStyle w:val="ListParagraph"/>
        <w:numPr>
          <w:ilvl w:val="0"/>
          <w:numId w:val="2"/>
        </w:numPr>
        <w:spacing w:after="60"/>
      </w:pPr>
      <w:r>
        <w:t xml:space="preserve">Confirmed that Cloud-OpsBench is publicly available under the MIT license, with snapshots, an evaluator, and an MCP interface.</w:t>
      </w:r>
    </w:p>
    <w:p>
      <w:pPr>
        <w:pStyle w:val="ListParagraph"/>
        <w:numPr>
          <w:ilvl w:val="0"/>
          <w:numId w:val="2"/>
        </w:numPr>
        <w:spacing w:after="60"/>
      </w:pPr>
      <w:r>
        <w:t xml:space="preserve">Verified the core related work (Cloud-OpsBench, PRAXIS, MetaRCA, and the OpenRCA failure analysis).</w:t>
      </w:r>
    </w:p>
    <w:p>
      <w:pPr>
        <w:pStyle w:val="ListParagraph"/>
        <w:numPr>
          <w:ilvl w:val="0"/>
          <w:numId w:val="2"/>
        </w:numPr>
        <w:spacing w:after="60"/>
      </w:pPr>
      <w:r>
        <w:t xml:space="preserve">Next 48 hours: download the data, inspect three cases across fault categories, run the baseline agent on five cases, and draft the first evidence contract.</w:t>
      </w:r>
    </w:p>
    <w:p>
      <w:pPr>
        <w:pStyle w:val="Heading1"/>
      </w:pPr>
      <w:r>
        <w:t xml:space="preserve">14. Questions for You</w:t>
      </w:r>
    </w:p>
    <w:p>
      <w:pPr>
        <w:pStyle w:val="ListParagraph"/>
        <w:numPr>
          <w:ilvl w:val="0"/>
          <w:numId w:val="4"/>
        </w:numPr>
        <w:spacing w:after="60"/>
      </w:pPr>
      <w:r>
        <w:t xml:space="preserve">Is evidence-contracted diagnosis the right depth for the course, or should we narrow to fewer fault types and go deeper on the ontology?</w:t>
      </w:r>
    </w:p>
    <w:p>
      <w:pPr>
        <w:pStyle w:val="ListParagraph"/>
        <w:numPr>
          <w:ilvl w:val="0"/>
          <w:numId w:val="4"/>
        </w:numPr>
        <w:spacing w:after="60"/>
      </w:pPr>
      <w:r>
        <w:t xml:space="preserve">Is a two-system benchmark acceptable as our data source, given that it is a controlled environment rather than production?</w:t>
      </w:r>
    </w:p>
    <w:p>
      <w:pPr>
        <w:pStyle w:val="ListParagraph"/>
        <w:numPr>
          <w:ilvl w:val="0"/>
          <w:numId w:val="4"/>
        </w:numPr>
        <w:spacing w:after="60"/>
      </w:pPr>
      <w:r>
        <w:t xml:space="preserve">Would you like the contracts to also cover ruling out competing causes, which is currently a stretch goal?</w:t>
      </w:r>
    </w:p>
    <w:p>
      <w:pPr>
        <w:pStyle w:val="Heading1"/>
      </w:pPr>
      <w:r>
        <w:t xml:space="preserve">15. References</w:t>
      </w:r>
    </w:p>
    <w:p>
      <w:pPr>
        <w:pStyle w:val="ListParagraph"/>
        <w:numPr>
          <w:ilvl w:val="0"/>
          <w:numId w:val="2"/>
        </w:numPr>
        <w:spacing w:after="60"/>
      </w:pPr>
      <w:r>
        <w:t xml:space="preserve">Wang, Y., Yu, G., Huang, H., Huang, Y., Wang, Z., Chen, P., &amp; Lyu, M. R. (2026). Cloud-OpsBench: A Reproducible Benchmark for Agentic Root Cause Analysis in Cloud Systems. arXiv:2603.00468. Data: huggingface.co/datasets/LLM4Ops/Cloud-OpsBench (MIT).</w:t>
      </w:r>
    </w:p>
    <w:p>
      <w:pPr>
        <w:pStyle w:val="ListParagraph"/>
        <w:numPr>
          <w:ilvl w:val="0"/>
          <w:numId w:val="2"/>
        </w:numPr>
        <w:spacing w:after="60"/>
      </w:pPr>
      <w:r>
        <w:t xml:space="preserve">Cui, S., Krishna, R., Jha, S., &amp; Iyer, R. K. (2026). PRAXIS: Integrating Program Analysis with Observability for Root-Cause Analysis. arXiv:2512.22113.</w:t>
      </w:r>
    </w:p>
    <w:p>
      <w:pPr>
        <w:pStyle w:val="ListParagraph"/>
        <w:numPr>
          <w:ilvl w:val="0"/>
          <w:numId w:val="2"/>
        </w:numPr>
        <w:spacing w:after="60"/>
      </w:pPr>
      <w:r>
        <w:t xml:space="preserve">Liang, S., Chen, P., et al. (2026). MetaRCA: A Generalizable Root Cause Analysis Framework for Cloud-Native Systems Powered by Meta Causal Knowledge. arXiv:2603.02032.</w:t>
      </w:r>
    </w:p>
    <w:p>
      <w:pPr>
        <w:pStyle w:val="ListParagraph"/>
        <w:numPr>
          <w:ilvl w:val="0"/>
          <w:numId w:val="2"/>
        </w:numPr>
        <w:spacing w:after="60"/>
      </w:pPr>
      <w:r>
        <w:t xml:space="preserve">Kim, T., Park, W., Yun, H., &amp; Lee, K. (2026). Why Do AI Agents Systematically Fail at Cloud Root Cause Analysis? arXiv:2602.09937.</w:t>
      </w:r>
    </w:p>
    <w:p>
      <w:pPr>
        <w:pStyle w:val="ListParagraph"/>
        <w:numPr>
          <w:ilvl w:val="0"/>
          <w:numId w:val="2"/>
        </w:numPr>
        <w:spacing w:after="60"/>
      </w:pPr>
      <w:r>
        <w:t xml:space="preserve">A Multi-Dataset Benchmark for Evaluating LLM Agents in Microservice Failure Diagnosis (2026). arXiv:2606.29193.</w:t>
      </w:r>
    </w:p>
    <w:p>
      <w:pPr>
        <w:pStyle w:val="ListParagraph"/>
        <w:numPr>
          <w:ilvl w:val="0"/>
          <w:numId w:val="2"/>
        </w:numPr>
        <w:spacing w:after="60"/>
      </w:pPr>
      <w:r>
        <w:t xml:space="preserve">Chen, Y., et al. (2024). Automatic Root Cause Analysis via Large Language Models for Cloud Incidents (RCACopilot). EuroSys 2024.</w:t>
      </w:r>
    </w:p>
    <w:p>
      <w:pPr>
        <w:pStyle w:val="ListParagraph"/>
        <w:numPr>
          <w:ilvl w:val="0"/>
          <w:numId w:val="2"/>
        </w:numPr>
        <w:spacing w:after="60"/>
      </w:pPr>
      <w:r>
        <w:t xml:space="preserve">W3C Recommendations: OWL 2, SHACL (2017), PROV-O (2013).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ProofOps, project proposal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ProofOps</dc:title>
  <dc:creator>Nikhil Kachhela</dc:creator>
  <cp:lastModifiedBy>Un-named</cp:lastModifiedBy>
  <cp:revision>1</cp:revision>
  <dcterms:created xsi:type="dcterms:W3CDTF">2026-10-14T20:51:09.607Z</dcterms:created>
  <dcterms:modified xsi:type="dcterms:W3CDTF">2026-10-14T20:51:09.620Z</dcterms:modified>
</cp:coreProperties>
</file>

<file path=docProps/custom.xml><?xml version="1.0" encoding="utf-8"?>
<Properties xmlns="http://schemas.openxmlformats.org/officeDocument/2006/custom-properties" xmlns:vt="http://schemas.openxmlformats.org/officeDocument/2006/docPropsVTypes"/>
</file>