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5F6F7"/>
  <w:body>
    <w:p>
      <w:pPr>
        <w:spacing w:before="600"/>
      </w:pP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443152" w:val="clear"/>
            <w:tcMar>
              <w:top w:type="dxa" w:w="420"/>
              <w:left w:type="dxa" w:w="360"/>
              <w:bottom w:type="dxa" w:w="420"/>
              <w:right w:type="dxa" w:w="360"/>
            </w:tcMar>
          </w:tcPr>
          <w:p>
            <w:pPr>
              <w:spacing w:after="60"/>
            </w:pPr>
            <w:r>
              <w:rPr>
                <w:rFonts w:ascii="Calibri" w:cs="Calibri" w:eastAsia="Calibri" w:hAnsi="Calibri"/>
                <w:b/>
                <w:bCs/>
                <w:color w:val="FFB2E4"/>
                <w:sz w:val="18"/>
                <w:szCs w:val="18"/>
              </w:rPr>
              <w:t xml:space="preserve">WIOM  ·  GROWTH  ·  COMMS</w:t>
            </w:r>
          </w:p>
          <w:p>
            <w:pPr>
              <w:spacing w:after="80"/>
            </w:pPr>
            <w:r>
              <w:rPr>
                <w:rFonts w:ascii="Calibri" w:cs="Calibri" w:eastAsia="Calibri" w:hAnsi="Calibri"/>
                <w:b/>
                <w:bCs/>
                <w:color w:val="FFFFFF"/>
                <w:sz w:val="42"/>
                <w:szCs w:val="42"/>
              </w:rPr>
              <w:t xml:space="preserve">Messaging System per Layer</w:t>
            </w:r>
          </w:p>
          <w:p>
            <w:r>
              <w:rPr>
                <w:rFonts w:ascii="Calibri" w:cs="Calibri" w:eastAsia="Calibri" w:hAnsi="Calibri"/>
                <w:color w:val="FFE5F6"/>
                <w:sz w:val="22"/>
                <w:szCs w:val="22"/>
              </w:rPr>
              <w:t xml:space="preserve">Three layers. Three different jobs. Three different briefs. This is the working manual.</w:t>
            </w:r>
          </w:p>
        </w:tc>
      </w:tr>
    </w:tbl>
    <w:p>
      <w:pPr>
        <w:spacing w:after="220"/>
      </w:pPr>
    </w:p>
    <w:p>
      <w:pPr>
        <w:spacing w:after="200"/>
      </w:pPr>
      <w:r>
        <w:rPr>
          <w:rFonts w:ascii="Calibri" w:cs="Calibri" w:eastAsia="Calibri" w:hAnsi="Calibri"/>
          <w:i/>
          <w:iCs/>
          <w:color w:val="443152"/>
          <w:sz w:val="23"/>
          <w:szCs w:val="23"/>
        </w:rPr>
        <w:t xml:space="preserve">What to land per layer, where the user arrives from, what bridge to build, and what every creative must never do.</w:t>
      </w:r>
    </w:p>
    <w:p>
      <w:pPr>
        <w:pBdr>
          <w:bottom w:val="single" w:color="FFB2E4" w:sz="8" w:space="1"/>
        </w:pBdr>
        <w:spacing w:after="60" w:before="60"/>
      </w:pPr>
    </w:p>
    <w:p>
      <w:pPr>
        <w:spacing w:before="120"/>
      </w:pPr>
      <w:r>
        <w:rPr>
          <w:rFonts w:ascii="Calibri" w:cs="Calibri" w:eastAsia="Calibri" w:hAnsi="Calibri"/>
          <w:b w:val="false"/>
          <w:bCs w:val="false"/>
          <w:i w:val="false"/>
          <w:iCs w:val="false"/>
          <w:color w:val="5A6B80"/>
          <w:sz w:val="19"/>
          <w:szCs w:val="19"/>
        </w:rPr>
        <w:t xml:space="preserve">Version </w:t>
      </w:r>
      <w:r>
        <w:rPr>
          <w:rFonts w:ascii="Calibri" w:cs="Calibri" w:eastAsia="Calibri" w:hAnsi="Calibri"/>
          <w:b/>
          <w:bCs/>
          <w:i w:val="false"/>
          <w:iCs w:val="false"/>
          <w:color w:val="222222"/>
          <w:sz w:val="19"/>
          <w:szCs w:val="19"/>
        </w:rPr>
        <w:t xml:space="preserve">v1.3</w:t>
      </w:r>
      <w:r>
        <w:rPr>
          <w:rFonts w:ascii="Calibri" w:cs="Calibri" w:eastAsia="Calibri" w:hAnsi="Calibri"/>
          <w:b w:val="false"/>
          <w:bCs w:val="false"/>
          <w:i w:val="false"/>
          <w:iCs w:val="false"/>
          <w:color w:val="5A6B80"/>
          <w:sz w:val="19"/>
          <w:szCs w:val="19"/>
        </w:rPr>
        <w:t xml:space="preserve">    ·    Status </w:t>
      </w:r>
      <w:r>
        <w:rPr>
          <w:rFonts w:ascii="Calibri" w:cs="Calibri" w:eastAsia="Calibri" w:hAnsi="Calibri"/>
          <w:b/>
          <w:bCs/>
          <w:i w:val="false"/>
          <w:iCs w:val="false"/>
          <w:color w:val="222222"/>
          <w:sz w:val="19"/>
          <w:szCs w:val="19"/>
        </w:rPr>
        <w:t xml:space="preserve">Comms working manual</w:t>
      </w:r>
    </w:p>
    <w:p>
      <w:r>
        <w:rPr>
          <w:rFonts w:ascii="Calibri" w:cs="Calibri" w:eastAsia="Calibri" w:hAnsi="Calibri"/>
          <w:b w:val="false"/>
          <w:bCs w:val="false"/>
          <w:i w:val="false"/>
          <w:iCs w:val="false"/>
          <w:color w:val="5A6B80"/>
          <w:sz w:val="19"/>
          <w:szCs w:val="19"/>
        </w:rPr>
        <w:t xml:space="preserve">Governed by </w:t>
      </w:r>
      <w:r>
        <w:rPr>
          <w:rFonts w:ascii="Calibri" w:cs="Calibri" w:eastAsia="Calibri" w:hAnsi="Calibri"/>
          <w:b w:val="false"/>
          <w:bCs w:val="false"/>
          <w:i w:val="false"/>
          <w:iCs w:val="false"/>
          <w:color w:val="222222"/>
          <w:sz w:val="19"/>
          <w:szCs w:val="19"/>
        </w:rPr>
        <w:t xml:space="preserve">Performance Marketing — Activation Framework v1.4  ·  Operating under 0-to-1 Tradeoffs v1.0 + Contrast Doctrine v2.1</w:t>
      </w:r>
    </w:p>
    <w:p>
      <w:r>
        <w:rPr>
          <w:rFonts w:ascii="Calibri" w:cs="Calibri" w:eastAsia="Calibri" w:hAnsi="Calibri"/>
          <w:b w:val="false"/>
          <w:bCs w:val="false"/>
          <w:i w:val="false"/>
          <w:iCs w:val="false"/>
          <w:color w:val="5A6B80"/>
          <w:sz w:val="19"/>
          <w:szCs w:val="19"/>
        </w:rPr>
        <w:t xml:space="preserve">Audience </w:t>
      </w:r>
      <w:r>
        <w:rPr>
          <w:rFonts w:ascii="Calibri" w:cs="Calibri" w:eastAsia="Calibri" w:hAnsi="Calibri"/>
          <w:b w:val="false"/>
          <w:bCs w:val="false"/>
          <w:i w:val="false"/>
          <w:iCs w:val="false"/>
          <w:color w:val="222222"/>
          <w:sz w:val="19"/>
          <w:szCs w:val="19"/>
        </w:rPr>
        <w:t xml:space="preserve">Comms (Karishni, Deepak, Smit) · Creative briefs cite this doc</w:t>
      </w:r>
    </w:p>
    <w:p>
      <w:r>
        <w:rPr>
          <w:rFonts w:ascii="Calibri" w:cs="Calibri" w:eastAsia="Calibri" w:hAnsi="Calibri"/>
          <w:b w:val="false"/>
          <w:bCs w:val="false"/>
          <w:i w:val="false"/>
          <w:iCs w:val="false"/>
          <w:color w:val="5A6B80"/>
          <w:sz w:val="19"/>
          <w:szCs w:val="19"/>
        </w:rPr>
        <w:t xml:space="preserve">Owner </w:t>
      </w:r>
      <w:r>
        <w:rPr>
          <w:rFonts w:ascii="Calibri" w:cs="Calibri" w:eastAsia="Calibri" w:hAnsi="Calibri"/>
          <w:b w:val="false"/>
          <w:bCs w:val="false"/>
          <w:i w:val="false"/>
          <w:iCs w:val="false"/>
          <w:color w:val="222222"/>
          <w:sz w:val="19"/>
          <w:szCs w:val="19"/>
        </w:rPr>
        <w:t xml:space="preserve">Karishni</w:t>
      </w:r>
    </w:p>
    <w:p>
      <w:r>
        <w:br w:type="page"/>
      </w:r>
    </w:p>
    <w:p>
      <w:pPr>
        <w:pStyle w:val="Heading1"/>
        <w:spacing w:after="140" w:before="280"/>
      </w:pPr>
      <w:r>
        <w:rPr>
          <w:rFonts w:ascii="Calibri" w:cs="Calibri" w:eastAsia="Calibri" w:hAnsi="Calibri"/>
          <w:b/>
          <w:bCs/>
          <w:color w:val="443152"/>
          <w:sz w:val="30"/>
          <w:szCs w:val="30"/>
        </w:rPr>
        <w:t xml:space="preserve">Why read this</w:t>
      </w:r>
    </w:p>
    <w:p>
      <w:pPr>
        <w:spacing w:after="140" w:before="0" w:line="288"/>
      </w:pPr>
      <w:r>
        <w:rPr>
          <w:rFonts w:ascii="Calibri" w:cs="Calibri" w:eastAsia="Calibri" w:hAnsi="Calibri"/>
          <w:b w:val="false"/>
          <w:bCs w:val="false"/>
          <w:i w:val="false"/>
          <w:iCs w:val="false"/>
          <w:color w:val="222222"/>
          <w:sz w:val="22"/>
          <w:szCs w:val="22"/>
        </w:rPr>
        <w:t xml:space="preserve">After this, you brief any creative for any layer with a single page of source-of-truth: the belief to land, the bridge to build, the proof that lands it, and what to never put on screen. Each layer’s page is the spec; every creative must trace back to one.</w:t>
      </w:r>
    </w:p>
    <w:p>
      <w:pPr>
        <w:spacing w:after="80" w:before="160"/>
      </w:pPr>
      <w:r>
        <w:rPr>
          <w:rFonts w:ascii="Calibri" w:cs="Calibri" w:eastAsia="Calibri" w:hAnsi="Calibri"/>
          <w:b/>
          <w:bCs/>
          <w:color w:val="D9008D"/>
          <w:sz w:val="22"/>
          <w:szCs w:val="22"/>
        </w:rPr>
        <w:t xml:space="preserve">In 60 seconds</w:t>
      </w:r>
    </w:p>
    <w:p>
      <w:pPr>
        <w:pStyle w:val="ListParagraph"/>
        <w:numPr>
          <w:ilvl w:val="0"/>
          <w:numId w:val="2"/>
        </w:numPr>
        <w:spacing w:after="80" w:line="282"/>
      </w:pPr>
      <w:r>
        <w:rPr>
          <w:rFonts w:ascii="Calibri" w:cs="Calibri" w:eastAsia="Calibri" w:hAnsi="Calibri"/>
          <w:b w:val="false"/>
          <w:bCs w:val="false"/>
          <w:i w:val="false"/>
          <w:iCs w:val="false"/>
          <w:color w:val="222222"/>
          <w:sz w:val="22"/>
          <w:szCs w:val="22"/>
        </w:rPr>
        <w:t xml:space="preserve">Three layers, three jobs: </w:t>
      </w:r>
      <w:r>
        <w:rPr>
          <w:rFonts w:ascii="Calibri" w:cs="Calibri" w:eastAsia="Calibri" w:hAnsi="Calibri"/>
          <w:b/>
          <w:bCs/>
          <w:i w:val="false"/>
          <w:iCs w:val="false"/>
          <w:color w:val="222222"/>
          <w:sz w:val="22"/>
          <w:szCs w:val="22"/>
        </w:rPr>
        <w:t xml:space="preserve">L1 (Ready buyer) — bridge from WiFi-comparison to ghar ka net; L2 (Blocked buyer) — land the recharge-shape that broadband can’t give; L3 (Workaround pain) — convert mobile-data pain into ghar ka net consideration.</w:t>
      </w:r>
    </w:p>
    <w:p>
      <w:pPr>
        <w:pStyle w:val="ListParagraph"/>
        <w:numPr>
          <w:ilvl w:val="0"/>
          <w:numId w:val="2"/>
        </w:numPr>
        <w:spacing w:after="80" w:line="282"/>
      </w:pPr>
      <w:r>
        <w:rPr>
          <w:rFonts w:ascii="Calibri" w:cs="Calibri" w:eastAsia="Calibri" w:hAnsi="Calibri"/>
          <w:b w:val="false"/>
          <w:bCs w:val="false"/>
          <w:i w:val="false"/>
          <w:iCs w:val="false"/>
          <w:color w:val="222222"/>
          <w:sz w:val="22"/>
          <w:szCs w:val="22"/>
        </w:rPr>
        <w:t xml:space="preserve">Every layer’s message must handle </w:t>
      </w:r>
      <w:r>
        <w:rPr>
          <w:rFonts w:ascii="Calibri" w:cs="Calibri" w:eastAsia="Calibri" w:hAnsi="Calibri"/>
          <w:b/>
          <w:bCs/>
          <w:i w:val="false"/>
          <w:iCs w:val="false"/>
          <w:color w:val="222222"/>
          <w:sz w:val="22"/>
          <w:szCs w:val="22"/>
        </w:rPr>
        <w:t xml:space="preserve">one universal load</w:t>
      </w:r>
      <w:r>
        <w:rPr>
          <w:rFonts w:ascii="Calibri" w:cs="Calibri" w:eastAsia="Calibri" w:hAnsi="Calibri"/>
          <w:b w:val="false"/>
          <w:bCs w:val="false"/>
          <w:i w:val="false"/>
          <w:iCs w:val="false"/>
          <w:color w:val="222222"/>
          <w:sz w:val="22"/>
          <w:szCs w:val="22"/>
        </w:rPr>
        <w:t xml:space="preserve">: the word “recharge” arrives pre-loaded with the mobile-data schema. Our job in every creative is to anchor it to </w:t>
      </w:r>
      <w:r>
        <w:rPr>
          <w:rFonts w:ascii="Calibri" w:cs="Calibri" w:eastAsia="Calibri" w:hAnsi="Calibri"/>
          <w:b w:val="false"/>
          <w:bCs w:val="false"/>
          <w:i/>
          <w:iCs/>
          <w:color w:val="222222"/>
          <w:sz w:val="22"/>
          <w:szCs w:val="22"/>
        </w:rPr>
        <w:t xml:space="preserve">ghar ka net</w:t>
      </w:r>
      <w:r>
        <w:rPr>
          <w:rFonts w:ascii="Calibri" w:cs="Calibri" w:eastAsia="Calibri" w:hAnsi="Calibri"/>
          <w:b w:val="false"/>
          <w:bCs w:val="false"/>
          <w:i w:val="false"/>
          <w:iCs w:val="false"/>
          <w:color w:val="222222"/>
          <w:sz w:val="22"/>
          <w:szCs w:val="22"/>
        </w:rPr>
        <w:t xml:space="preserve">.</w:t>
      </w:r>
    </w:p>
    <w:p>
      <w:pPr>
        <w:pStyle w:val="ListParagraph"/>
        <w:numPr>
          <w:ilvl w:val="0"/>
          <w:numId w:val="2"/>
        </w:numPr>
        <w:spacing w:after="80" w:line="282"/>
      </w:pPr>
      <w:r>
        <w:rPr>
          <w:rFonts w:ascii="Calibri" w:cs="Calibri" w:eastAsia="Calibri" w:hAnsi="Calibri"/>
          <w:b w:val="false"/>
          <w:bCs w:val="false"/>
          <w:i w:val="false"/>
          <w:iCs w:val="false"/>
          <w:color w:val="222222"/>
          <w:sz w:val="22"/>
          <w:szCs w:val="22"/>
        </w:rPr>
        <w:t xml:space="preserve">The May creative sprint settled the craft rules: </w:t>
      </w:r>
      <w:r>
        <w:rPr>
          <w:rFonts w:ascii="Calibri" w:cs="Calibri" w:eastAsia="Calibri" w:hAnsi="Calibri"/>
          <w:b/>
          <w:bCs/>
          <w:i w:val="false"/>
          <w:iCs w:val="false"/>
          <w:color w:val="222222"/>
          <w:sz w:val="22"/>
          <w:szCs w:val="22"/>
        </w:rPr>
        <w:t xml:space="preserve">simple beats clever, one job per creative, category before examples, zero confusion is the bar.</w:t>
      </w:r>
    </w:p>
    <w:p>
      <w:pPr>
        <w:pStyle w:val="ListParagraph"/>
        <w:numPr>
          <w:ilvl w:val="0"/>
          <w:numId w:val="2"/>
        </w:numPr>
        <w:spacing w:after="80" w:line="282"/>
      </w:pPr>
      <w:r>
        <w:rPr>
          <w:rFonts w:ascii="Calibri" w:cs="Calibri" w:eastAsia="Calibri" w:hAnsi="Calibri"/>
          <w:b w:val="false"/>
          <w:bCs w:val="false"/>
          <w:i w:val="false"/>
          <w:iCs w:val="false"/>
          <w:color w:val="222222"/>
          <w:sz w:val="22"/>
          <w:szCs w:val="22"/>
        </w:rPr>
        <w:t xml:space="preserve">Every creative passes two tests: </w:t>
      </w:r>
      <w:r>
        <w:rPr>
          <w:rFonts w:ascii="Calibri" w:cs="Calibri" w:eastAsia="Calibri" w:hAnsi="Calibri"/>
          <w:b/>
          <w:bCs/>
          <w:i w:val="false"/>
          <w:iCs w:val="false"/>
          <w:color w:val="222222"/>
          <w:sz w:val="22"/>
          <w:szCs w:val="22"/>
        </w:rPr>
        <w:t xml:space="preserve">pre-launch comprehension test</w:t>
      </w:r>
      <w:r>
        <w:rPr>
          <w:rFonts w:ascii="Calibri" w:cs="Calibri" w:eastAsia="Calibri" w:hAnsi="Calibri"/>
          <w:b w:val="false"/>
          <w:bCs w:val="false"/>
          <w:i w:val="false"/>
          <w:iCs w:val="false"/>
          <w:color w:val="222222"/>
          <w:sz w:val="22"/>
          <w:szCs w:val="22"/>
        </w:rPr>
        <w:t xml:space="preserve"> (does it land?) and </w:t>
      </w:r>
      <w:r>
        <w:rPr>
          <w:rFonts w:ascii="Calibri" w:cs="Calibri" w:eastAsia="Calibri" w:hAnsi="Calibri"/>
          <w:b/>
          <w:bCs/>
          <w:i w:val="false"/>
          <w:iCs w:val="false"/>
          <w:color w:val="222222"/>
          <w:sz w:val="22"/>
          <w:szCs w:val="22"/>
        </w:rPr>
        <w:t xml:space="preserve">post-launch cohort test</w:t>
      </w:r>
      <w:r>
        <w:rPr>
          <w:rFonts w:ascii="Calibri" w:cs="Calibri" w:eastAsia="Calibri" w:hAnsi="Calibri"/>
          <w:b w:val="false"/>
          <w:bCs w:val="false"/>
          <w:i w:val="false"/>
          <w:iCs w:val="false"/>
          <w:color w:val="222222"/>
          <w:sz w:val="22"/>
          <w:szCs w:val="22"/>
        </w:rPr>
        <w:t xml:space="preserve"> (does it produce recharging households?). Neither alone is sufficient.</w:t>
      </w:r>
    </w:p>
    <w:p>
      <w:pPr>
        <w:spacing w:after="80" w:before="160"/>
      </w:pPr>
      <w:r>
        <w:rPr>
          <w:rFonts w:ascii="Calibri" w:cs="Calibri" w:eastAsia="Calibri" w:hAnsi="Calibri"/>
          <w:b/>
          <w:bCs/>
          <w:color w:val="D9008D"/>
          <w:sz w:val="22"/>
          <w:szCs w:val="22"/>
        </w:rPr>
        <w:t xml:space="preserve">What to do</w:t>
      </w:r>
    </w:p>
    <w:p>
      <w:pPr>
        <w:pStyle w:val="ListParagraph"/>
        <w:numPr>
          <w:ilvl w:val="0"/>
          <w:numId w:val="3"/>
        </w:numPr>
        <w:spacing w:after="90" w:line="282"/>
      </w:pPr>
      <w:r>
        <w:rPr>
          <w:rFonts w:ascii="Calibri" w:cs="Calibri" w:eastAsia="Calibri" w:hAnsi="Calibri"/>
          <w:b/>
          <w:bCs/>
          <w:i w:val="false"/>
          <w:iCs w:val="false"/>
          <w:color w:val="222222"/>
          <w:sz w:val="22"/>
          <w:szCs w:val="22"/>
        </w:rPr>
        <w:t xml:space="preserve">Karishni — </w:t>
      </w:r>
      <w:r>
        <w:rPr>
          <w:rFonts w:ascii="Calibri" w:cs="Calibri" w:eastAsia="Calibri" w:hAnsi="Calibri"/>
          <w:b w:val="false"/>
          <w:bCs w:val="false"/>
          <w:i w:val="false"/>
          <w:iCs w:val="false"/>
          <w:color w:val="222222"/>
          <w:sz w:val="22"/>
          <w:szCs w:val="22"/>
        </w:rPr>
        <w:t xml:space="preserve">brief every new creative against the layer page (§4–6). No creative leaves the brief stage without naming its layer.</w:t>
      </w:r>
    </w:p>
    <w:p>
      <w:pPr>
        <w:pStyle w:val="ListParagraph"/>
        <w:numPr>
          <w:ilvl w:val="0"/>
          <w:numId w:val="3"/>
        </w:numPr>
        <w:spacing w:after="90" w:line="282"/>
      </w:pPr>
      <w:r>
        <w:rPr>
          <w:rFonts w:ascii="Calibri" w:cs="Calibri" w:eastAsia="Calibri" w:hAnsi="Calibri"/>
          <w:b/>
          <w:bCs/>
          <w:i w:val="false"/>
          <w:iCs w:val="false"/>
          <w:color w:val="222222"/>
          <w:sz w:val="22"/>
          <w:szCs w:val="22"/>
        </w:rPr>
        <w:t xml:space="preserve">Deepak / Smit — </w:t>
      </w:r>
      <w:r>
        <w:rPr>
          <w:rFonts w:ascii="Calibri" w:cs="Calibri" w:eastAsia="Calibri" w:hAnsi="Calibri"/>
          <w:b w:val="false"/>
          <w:bCs w:val="false"/>
          <w:i w:val="false"/>
          <w:iCs w:val="false"/>
          <w:color w:val="222222"/>
          <w:sz w:val="22"/>
          <w:szCs w:val="22"/>
        </w:rPr>
        <w:t xml:space="preserve">creative work follows the proof structures and the “must not do” list per layer. Pre-test against the comprehension bar in §8 before media.</w:t>
      </w:r>
    </w:p>
    <w:p>
      <w:pPr>
        <w:pStyle w:val="ListParagraph"/>
        <w:numPr>
          <w:ilvl w:val="0"/>
          <w:numId w:val="3"/>
        </w:numPr>
        <w:spacing w:after="90" w:line="282"/>
      </w:pPr>
      <w:r>
        <w:rPr>
          <w:rFonts w:ascii="Calibri" w:cs="Calibri" w:eastAsia="Calibri" w:hAnsi="Calibri"/>
          <w:b/>
          <w:bCs/>
          <w:i w:val="false"/>
          <w:iCs w:val="false"/>
          <w:color w:val="222222"/>
          <w:sz w:val="22"/>
          <w:szCs w:val="22"/>
        </w:rPr>
        <w:t xml:space="preserve">Everyone — </w:t>
      </w:r>
      <w:r>
        <w:rPr>
          <w:rFonts w:ascii="Calibri" w:cs="Calibri" w:eastAsia="Calibri" w:hAnsi="Calibri"/>
          <w:b w:val="false"/>
          <w:bCs w:val="false"/>
          <w:i w:val="false"/>
          <w:iCs w:val="false"/>
          <w:color w:val="222222"/>
          <w:sz w:val="22"/>
          <w:szCs w:val="22"/>
        </w:rPr>
        <w:t xml:space="preserve">if a request is for need-aware households (don’t yet want home internet), it goes to Bob, not us. Filter in §2.</w:t>
      </w:r>
    </w:p>
    <w:p>
      <w:pPr>
        <w:spacing w:after="60"/>
      </w:pPr>
    </w:p>
    <w:tbl>
      <w:tblPr>
        <w:tblW w:type="dxa" w:w="9360"/>
        <w:tblBorders>
          <w:top w:val="single" w:color="FFE5F6" w:sz="2"/>
          <w:left w:val="single" w:color="D9008D" w:sz="28"/>
          <w:bottom w:val="single" w:color="FFE5F6" w:sz="2"/>
          <w:right w:val="single" w:color="FFE5F6" w:sz="2"/>
          <w:insideH w:val="single" w:color="auto" w:sz="4"/>
          <w:insideV w:val="single" w:color="auto" w:sz="4"/>
        </w:tblBorders>
      </w:tblPr>
      <w:tblGrid>
        <w:gridCol w:w="9360"/>
      </w:tblGrid>
      <w:tr>
        <w:tc>
          <w:tcPr>
            <w:tcW w:type="dxa" w:w="9360"/>
            <w:shd w:fill="FFE5F6" w:val="clear"/>
            <w:tcMar>
              <w:top w:type="dxa" w:w="120"/>
              <w:left w:type="dxa" w:w="200"/>
              <w:bottom w:type="dxa" w:w="120"/>
              <w:right w:type="dxa" w:w="160"/>
            </w:tcMar>
          </w:tcPr>
          <w:p>
            <w:pPr>
              <w:spacing w:after="60"/>
            </w:pPr>
            <w:r>
              <w:rPr>
                <w:rFonts w:ascii="Calibri" w:cs="Calibri" w:eastAsia="Calibri" w:hAnsi="Calibri"/>
                <w:b/>
                <w:bCs/>
                <w:color w:val="D9008D"/>
                <w:sz w:val="18"/>
                <w:szCs w:val="18"/>
              </w:rPr>
              <w:t xml:space="preserve">FOUNDER NOTE</w:t>
            </w:r>
          </w:p>
          <w:p>
            <w:pPr>
              <w:spacing w:after="0" w:line="282"/>
            </w:pPr>
            <w:r>
              <w:rPr>
                <w:rFonts w:ascii="Calibri" w:cs="Calibri" w:eastAsia="Calibri" w:hAnsi="Calibri"/>
                <w:i/>
                <w:iCs/>
                <w:color w:val="443152"/>
                <w:sz w:val="21"/>
                <w:szCs w:val="21"/>
              </w:rPr>
              <w:t xml:space="preserve">The whole job here is to make the right thing land in the right head. Not to be clever, not to be aspirational, not to win awards. Land the right belief in the right user, watch them recharge, repeat. The May sprint gave us hard evidence about what works — simple wins, examples-before-category fail, zero confusion is achievable. This doc is how we make that evidence operational in every brief from here on.</w:t>
            </w:r>
          </w:p>
        </w:tc>
      </w:tr>
    </w:tbl>
    <w:p>
      <w:r>
        <w:br w:type="page"/>
      </w:r>
    </w:p>
    <w:p>
      <w:pPr>
        <w:pStyle w:val="Heading1"/>
        <w:spacing w:after="140" w:before="280"/>
      </w:pPr>
      <w:r>
        <w:rPr>
          <w:rFonts w:ascii="Calibri" w:cs="Calibri" w:eastAsia="Calibri" w:hAnsi="Calibri"/>
          <w:b/>
          <w:bCs/>
          <w:color w:val="443152"/>
          <w:sz w:val="30"/>
          <w:szCs w:val="30"/>
        </w:rPr>
        <w:t xml:space="preserve">1.  The one thing every layer’s message must handle</w:t>
      </w:r>
    </w:p>
    <w:p>
      <w:pPr>
        <w:spacing w:after="140" w:before="0" w:line="288"/>
      </w:pPr>
      <w:r>
        <w:rPr>
          <w:rFonts w:ascii="Calibri" w:cs="Calibri" w:eastAsia="Calibri" w:hAnsi="Calibri"/>
          <w:b w:val="false"/>
          <w:bCs w:val="false"/>
          <w:i w:val="false"/>
          <w:iCs w:val="false"/>
          <w:color w:val="222222"/>
          <w:sz w:val="22"/>
          <w:szCs w:val="22"/>
        </w:rPr>
        <w:t xml:space="preserve">There is one universal load every Wiom creative carries, and it’s the same for all three layers. Naming it up front means we stop relearning it per brief.</w:t>
      </w:r>
    </w:p>
    <w:p>
      <w:pPr>
        <w:spacing w:after="80" w:before="160"/>
      </w:pPr>
      <w:r>
        <w:rPr>
          <w:rFonts w:ascii="Calibri" w:cs="Calibri" w:eastAsia="Calibri" w:hAnsi="Calibri"/>
          <w:b/>
          <w:bCs/>
          <w:color w:val="D9008D"/>
          <w:sz w:val="22"/>
          <w:szCs w:val="22"/>
        </w:rPr>
        <w:t xml:space="preserve">The gift</w:t>
      </w:r>
    </w:p>
    <w:p>
      <w:pPr>
        <w:spacing w:after="140" w:before="0" w:line="288"/>
      </w:pPr>
      <w:r>
        <w:rPr>
          <w:rFonts w:ascii="Calibri" w:cs="Calibri" w:eastAsia="Calibri" w:hAnsi="Calibri"/>
          <w:b w:val="false"/>
          <w:bCs w:val="false"/>
          <w:i w:val="false"/>
          <w:iCs w:val="false"/>
          <w:color w:val="222222"/>
          <w:sz w:val="22"/>
          <w:szCs w:val="22"/>
        </w:rPr>
        <w:t xml:space="preserve">Every user we target already understands “recharge” as a payment concept and “internet” as a thing. We are not inventing vocabulary. Both ends of “recharge-wala ghar ka net” are linguistically familiar.</w:t>
      </w:r>
    </w:p>
    <w:p>
      <w:pPr>
        <w:spacing w:after="80" w:before="160"/>
      </w:pPr>
      <w:r>
        <w:rPr>
          <w:rFonts w:ascii="Calibri" w:cs="Calibri" w:eastAsia="Calibri" w:hAnsi="Calibri"/>
          <w:b/>
          <w:bCs/>
          <w:color w:val="D9008D"/>
          <w:sz w:val="22"/>
          <w:szCs w:val="22"/>
        </w:rPr>
        <w:t xml:space="preserve">The load</w:t>
      </w:r>
    </w:p>
    <w:p>
      <w:pPr>
        <w:spacing w:after="140" w:before="0" w:line="288"/>
      </w:pPr>
      <w:r>
        <w:rPr>
          <w:rFonts w:ascii="Calibri" w:cs="Calibri" w:eastAsia="Calibri" w:hAnsi="Calibri"/>
          <w:b w:val="false"/>
          <w:bCs w:val="false"/>
          <w:i w:val="false"/>
          <w:iCs w:val="false"/>
          <w:color w:val="222222"/>
          <w:sz w:val="22"/>
          <w:szCs w:val="22"/>
        </w:rPr>
        <w:t xml:space="preserve">The moment a user hears “recharge,” their default mental association is </w:t>
      </w:r>
      <w:r>
        <w:rPr>
          <w:rFonts w:ascii="Calibri" w:cs="Calibri" w:eastAsia="Calibri" w:hAnsi="Calibri"/>
          <w:b w:val="false"/>
          <w:bCs w:val="false"/>
          <w:i/>
          <w:iCs/>
          <w:color w:val="222222"/>
          <w:sz w:val="22"/>
          <w:szCs w:val="22"/>
        </w:rPr>
        <w:t xml:space="preserve">mobile</w:t>
      </w:r>
      <w:r>
        <w:rPr>
          <w:rFonts w:ascii="Calibri" w:cs="Calibri" w:eastAsia="Calibri" w:hAnsi="Calibri"/>
          <w:b w:val="false"/>
          <w:bCs w:val="false"/>
          <w:i w:val="false"/>
          <w:iCs w:val="false"/>
          <w:color w:val="222222"/>
          <w:sz w:val="22"/>
          <w:szCs w:val="22"/>
        </w:rPr>
        <w:t xml:space="preserve"> — because mobile is where they’ve recharged for 15+ years. So “recharge” arrives pre-loaded with the mobile-data schema (small pack, single device, prepaid). </w:t>
      </w:r>
      <w:r>
        <w:rPr>
          <w:rFonts w:ascii="Calibri" w:cs="Calibri" w:eastAsia="Calibri" w:hAnsi="Calibri"/>
          <w:b/>
          <w:bCs/>
          <w:i w:val="false"/>
          <w:iCs w:val="false"/>
          <w:color w:val="222222"/>
          <w:sz w:val="22"/>
          <w:szCs w:val="22"/>
        </w:rPr>
        <w:t xml:space="preserve">The category job for every creative is to attach “recharge” to “ghar ka net.”</w:t>
      </w:r>
      <w:r>
        <w:rPr>
          <w:rFonts w:ascii="Calibri" w:cs="Calibri" w:eastAsia="Calibri" w:hAnsi="Calibri"/>
          <w:b w:val="false"/>
          <w:bCs w:val="false"/>
          <w:i w:val="false"/>
          <w:iCs w:val="false"/>
          <w:color w:val="222222"/>
          <w:sz w:val="22"/>
          <w:szCs w:val="22"/>
        </w:rPr>
        <w:t xml:space="preserve"> Re-anchor the payment concept to a household, not a phone.</w:t>
      </w:r>
    </w:p>
    <w:tbl>
      <w:tblPr>
        <w:tblW w:type="dxa" w:w="9360"/>
        <w:tblBorders>
          <w:top w:val="single" w:color="EEF2F7" w:sz="2"/>
          <w:left w:val="single" w:color="5A6B80" w:sz="28"/>
          <w:bottom w:val="single" w:color="EEF2F7" w:sz="2"/>
          <w:right w:val="single" w:color="EEF2F7" w:sz="2"/>
          <w:insideH w:val="single" w:color="auto" w:sz="4"/>
          <w:insideV w:val="single" w:color="auto" w:sz="4"/>
        </w:tblBorders>
      </w:tblPr>
      <w:tblGrid>
        <w:gridCol w:w="9360"/>
      </w:tblGrid>
      <w:tr>
        <w:tc>
          <w:tcPr>
            <w:tcW w:type="dxa" w:w="9360"/>
            <w:shd w:fill="EEF2F7" w:val="clear"/>
            <w:tcMar>
              <w:top w:type="dxa" w:w="120"/>
              <w:left w:type="dxa" w:w="200"/>
              <w:bottom w:type="dxa" w:w="120"/>
              <w:right w:type="dxa" w:w="160"/>
            </w:tcMar>
          </w:tcPr>
          <w:p>
            <w:pPr>
              <w:spacing w:after="60"/>
            </w:pPr>
            <w:r>
              <w:rPr>
                <w:rFonts w:ascii="Calibri" w:cs="Calibri" w:eastAsia="Calibri" w:hAnsi="Calibri"/>
                <w:b/>
                <w:bCs/>
                <w:color w:val="5A6B80"/>
                <w:sz w:val="18"/>
                <w:szCs w:val="18"/>
              </w:rPr>
              <w:t xml:space="preserve">THE UNIVERSAL JOB</w:t>
            </w:r>
          </w:p>
          <w:p>
            <w:pPr>
              <w:spacing w:after="0" w:line="282"/>
            </w:pPr>
            <w:r>
              <w:rPr>
                <w:rFonts w:ascii="Calibri" w:cs="Calibri" w:eastAsia="Calibri" w:hAnsi="Calibri"/>
                <w:b w:val="false"/>
                <w:bCs w:val="false"/>
                <w:i w:val="false"/>
                <w:iCs w:val="false"/>
                <w:color w:val="222222"/>
                <w:sz w:val="20"/>
                <w:szCs w:val="20"/>
              </w:rPr>
              <w:t xml:space="preserve">Every creative — regardless of layer — must anchor </w:t>
            </w:r>
            <w:r>
              <w:rPr>
                <w:rFonts w:ascii="Calibri" w:cs="Calibri" w:eastAsia="Calibri" w:hAnsi="Calibri"/>
                <w:b/>
                <w:bCs/>
                <w:i w:val="false"/>
                <w:iCs w:val="false"/>
                <w:color w:val="222222"/>
                <w:sz w:val="20"/>
                <w:szCs w:val="20"/>
              </w:rPr>
              <w:t xml:space="preserve">recharge → ghar ka net</w:t>
            </w:r>
            <w:r>
              <w:rPr>
                <w:rFonts w:ascii="Calibri" w:cs="Calibri" w:eastAsia="Calibri" w:hAnsi="Calibri"/>
                <w:b w:val="false"/>
                <w:bCs w:val="false"/>
                <w:i w:val="false"/>
                <w:iCs w:val="false"/>
                <w:color w:val="222222"/>
                <w:sz w:val="20"/>
                <w:szCs w:val="20"/>
              </w:rPr>
              <w:t xml:space="preserve"> before anything else happens on screen. The layers differ on where the user is starting from (WiFi comparison, broadband refusal, mobile-data pain); the destination is the same.</w:t>
            </w:r>
          </w:p>
        </w:tc>
      </w:tr>
    </w:tbl>
    <w:p>
      <w:pPr>
        <w:pStyle w:val="Heading1"/>
        <w:spacing w:after="140" w:before="280"/>
      </w:pPr>
      <w:r>
        <w:rPr>
          <w:rFonts w:ascii="Calibri" w:cs="Calibri" w:eastAsia="Calibri" w:hAnsi="Calibri"/>
          <w:b/>
          <w:bCs/>
          <w:color w:val="443152"/>
          <w:sz w:val="30"/>
          <w:szCs w:val="30"/>
        </w:rPr>
        <w:t xml:space="preserve">2.  What this document is, and what it isn’t</w:t>
      </w:r>
    </w:p>
    <w:p>
      <w:pPr>
        <w:spacing w:after="140" w:before="0" w:line="288"/>
      </w:pPr>
      <w:r>
        <w:rPr>
          <w:rFonts w:ascii="Calibri" w:cs="Calibri" w:eastAsia="Calibri" w:hAnsi="Calibri"/>
          <w:b w:val="false"/>
          <w:bCs w:val="false"/>
          <w:i w:val="false"/>
          <w:iCs w:val="false"/>
          <w:color w:val="222222"/>
          <w:sz w:val="22"/>
          <w:szCs w:val="22"/>
        </w:rPr>
        <w:t xml:space="preserve">This is the comms team’s working manual. It tells you per layer: what belief to land, how the user arrives, what bridge to build, what proof structures work, what to never put on screen, and how we know the message worked.</w:t>
      </w:r>
    </w:p>
    <w:p>
      <w:pPr>
        <w:pStyle w:val="ListParagraph"/>
        <w:numPr>
          <w:ilvl w:val="0"/>
          <w:numId w:val="4"/>
        </w:numPr>
        <w:spacing w:after="80" w:line="282"/>
      </w:pPr>
      <w:r>
        <w:rPr>
          <w:rFonts w:ascii="Calibri" w:cs="Calibri" w:eastAsia="Calibri" w:hAnsi="Calibri"/>
          <w:b/>
          <w:bCs/>
          <w:i w:val="false"/>
          <w:iCs w:val="false"/>
          <w:color w:val="222222"/>
          <w:sz w:val="22"/>
          <w:szCs w:val="22"/>
        </w:rPr>
        <w:t xml:space="preserve">This </w:t>
      </w:r>
      <w:r>
        <w:rPr>
          <w:rFonts w:ascii="Calibri" w:cs="Calibri" w:eastAsia="Calibri" w:hAnsi="Calibri"/>
          <w:b w:val="false"/>
          <w:bCs w:val="false"/>
          <w:i/>
          <w:iCs/>
          <w:color w:val="222222"/>
          <w:sz w:val="22"/>
          <w:szCs w:val="22"/>
        </w:rPr>
        <w:t xml:space="preserve">is</w:t>
      </w:r>
      <w:r>
        <w:rPr>
          <w:rFonts w:ascii="Calibri" w:cs="Calibri" w:eastAsia="Calibri" w:hAnsi="Calibri"/>
          <w:b w:val="false"/>
          <w:bCs w:val="false"/>
          <w:i w:val="false"/>
          <w:iCs w:val="false"/>
          <w:color w:val="222222"/>
          <w:sz w:val="22"/>
          <w:szCs w:val="22"/>
        </w:rPr>
        <w:t xml:space="preserve"> the brief-level spec. Every creative cites the layer page it serves.</w:t>
      </w:r>
    </w:p>
    <w:p>
      <w:pPr>
        <w:pStyle w:val="ListParagraph"/>
        <w:numPr>
          <w:ilvl w:val="0"/>
          <w:numId w:val="4"/>
        </w:numPr>
        <w:spacing w:after="80" w:line="282"/>
      </w:pPr>
      <w:r>
        <w:rPr>
          <w:rFonts w:ascii="Calibri" w:cs="Calibri" w:eastAsia="Calibri" w:hAnsi="Calibri"/>
          <w:b/>
          <w:bCs/>
          <w:i w:val="false"/>
          <w:iCs w:val="false"/>
          <w:color w:val="222222"/>
          <w:sz w:val="22"/>
          <w:szCs w:val="22"/>
        </w:rPr>
        <w:t xml:space="preserve">This is </w:t>
      </w:r>
      <w:r>
        <w:rPr>
          <w:rFonts w:ascii="Calibri" w:cs="Calibri" w:eastAsia="Calibri" w:hAnsi="Calibri"/>
          <w:b w:val="false"/>
          <w:bCs w:val="false"/>
          <w:i/>
          <w:iCs/>
          <w:color w:val="222222"/>
          <w:sz w:val="22"/>
          <w:szCs w:val="22"/>
        </w:rPr>
        <w:t xml:space="preserve">not</w:t>
      </w:r>
      <w:r>
        <w:rPr>
          <w:rFonts w:ascii="Calibri" w:cs="Calibri" w:eastAsia="Calibri" w:hAnsi="Calibri"/>
          <w:b w:val="false"/>
          <w:bCs w:val="false"/>
          <w:i w:val="false"/>
          <w:iCs w:val="false"/>
          <w:color w:val="222222"/>
          <w:sz w:val="22"/>
          <w:szCs w:val="22"/>
        </w:rPr>
        <w:t xml:space="preserve"> the strategy. The strategic frame is the Activation Framework v1.4.</w:t>
      </w:r>
    </w:p>
    <w:p>
      <w:pPr>
        <w:pStyle w:val="ListParagraph"/>
        <w:numPr>
          <w:ilvl w:val="0"/>
          <w:numId w:val="4"/>
        </w:numPr>
        <w:spacing w:after="80" w:line="282"/>
      </w:pPr>
      <w:r>
        <w:rPr>
          <w:rFonts w:ascii="Calibri" w:cs="Calibri" w:eastAsia="Calibri" w:hAnsi="Calibri"/>
          <w:b/>
          <w:bCs/>
          <w:i w:val="false"/>
          <w:iCs w:val="false"/>
          <w:color w:val="222222"/>
          <w:sz w:val="22"/>
          <w:szCs w:val="22"/>
        </w:rPr>
        <w:t xml:space="preserve">This does </w:t>
      </w:r>
      <w:r>
        <w:rPr>
          <w:rFonts w:ascii="Calibri" w:cs="Calibri" w:eastAsia="Calibri" w:hAnsi="Calibri"/>
          <w:b w:val="false"/>
          <w:bCs w:val="false"/>
          <w:i/>
          <w:iCs/>
          <w:color w:val="222222"/>
          <w:sz w:val="22"/>
          <w:szCs w:val="22"/>
        </w:rPr>
        <w:t xml:space="preserve">not</w:t>
      </w:r>
      <w:r>
        <w:rPr>
          <w:rFonts w:ascii="Calibri" w:cs="Calibri" w:eastAsia="Calibri" w:hAnsi="Calibri"/>
          <w:b w:val="false"/>
          <w:bCs w:val="false"/>
          <w:i w:val="false"/>
          <w:iCs w:val="false"/>
          <w:color w:val="222222"/>
          <w:sz w:val="22"/>
          <w:szCs w:val="22"/>
        </w:rPr>
        <w:t xml:space="preserve"> cover need-creation work — households who don’t yet want home internet. That is Bob’s territory with his own system.</w:t>
      </w:r>
    </w:p>
    <w:p>
      <w:pPr>
        <w:spacing w:after="80" w:before="160"/>
      </w:pPr>
      <w:r>
        <w:rPr>
          <w:rFonts w:ascii="Calibri" w:cs="Calibri" w:eastAsia="Calibri" w:hAnsi="Calibri"/>
          <w:b/>
          <w:bCs/>
          <w:color w:val="D9008D"/>
          <w:sz w:val="22"/>
          <w:szCs w:val="22"/>
        </w:rPr>
        <w:t xml:space="preserve">The filter that keeps us focused</w:t>
      </w:r>
    </w:p>
    <w:tbl>
      <w:tblPr>
        <w:tblW w:type="dxa" w:w="9360"/>
        <w:tblBorders>
          <w:top w:val="single" w:color="FFF7E0" w:sz="2"/>
          <w:left w:val="single" w:color="B8860B" w:sz="28"/>
          <w:bottom w:val="single" w:color="FFF7E0" w:sz="2"/>
          <w:right w:val="single" w:color="FFF7E0" w:sz="2"/>
          <w:insideH w:val="single" w:color="auto" w:sz="4"/>
          <w:insideV w:val="single" w:color="auto" w:sz="4"/>
        </w:tblBorders>
      </w:tblPr>
      <w:tblGrid>
        <w:gridCol w:w="9360"/>
      </w:tblGrid>
      <w:tr>
        <w:tc>
          <w:tcPr>
            <w:tcW w:type="dxa" w:w="9360"/>
            <w:shd w:fill="FFF7E0" w:val="clear"/>
            <w:tcMar>
              <w:top w:type="dxa" w:w="120"/>
              <w:left w:type="dxa" w:w="200"/>
              <w:bottom w:type="dxa" w:w="120"/>
              <w:right w:type="dxa" w:w="160"/>
            </w:tcMar>
          </w:tcPr>
          <w:p>
            <w:pPr>
              <w:spacing w:after="60"/>
            </w:pPr>
            <w:r>
              <w:rPr>
                <w:rFonts w:ascii="Calibri" w:cs="Calibri" w:eastAsia="Calibri" w:hAnsi="Calibri"/>
                <w:b/>
                <w:bCs/>
                <w:color w:val="B8860B"/>
                <w:sz w:val="18"/>
                <w:szCs w:val="18"/>
              </w:rPr>
              <w:t xml:space="preserve">BEFORE ANY BRIEF</w:t>
            </w:r>
          </w:p>
          <w:p>
            <w:pPr>
              <w:spacing w:after="70" w:line="282"/>
            </w:pPr>
            <w:r>
              <w:rPr>
                <w:rFonts w:ascii="Calibri" w:cs="Calibri" w:eastAsia="Calibri" w:hAnsi="Calibri"/>
                <w:b w:val="false"/>
                <w:bCs w:val="false"/>
                <w:i w:val="false"/>
                <w:iCs w:val="false"/>
                <w:color w:val="222222"/>
                <w:sz w:val="21"/>
                <w:szCs w:val="21"/>
              </w:rPr>
              <w:t xml:space="preserve">Ask one question: </w:t>
            </w:r>
            <w:r>
              <w:rPr>
                <w:rFonts w:ascii="Calibri" w:cs="Calibri" w:eastAsia="Calibri" w:hAnsi="Calibri"/>
                <w:b/>
                <w:bCs/>
                <w:i w:val="false"/>
                <w:iCs w:val="false"/>
                <w:color w:val="222222"/>
                <w:sz w:val="21"/>
                <w:szCs w:val="21"/>
              </w:rPr>
              <w:t xml:space="preserve">Is this user one belief shift away from considering home internet?</w:t>
            </w:r>
          </w:p>
          <w:p>
            <w:pPr>
              <w:spacing w:after="0" w:line="282"/>
            </w:pPr>
            <w:r>
              <w:rPr>
                <w:rFonts w:ascii="Calibri" w:cs="Calibri" w:eastAsia="Calibri" w:hAnsi="Calibri"/>
                <w:b w:val="false"/>
                <w:bCs w:val="false"/>
                <w:i w:val="false"/>
                <w:iCs w:val="false"/>
                <w:color w:val="222222"/>
                <w:sz w:val="21"/>
                <w:szCs w:val="21"/>
              </w:rPr>
              <w:t xml:space="preserve">Yes (L1, L2, L3) → ours. No (need-aware, not yet considering) → Bob’s.</w:t>
            </w:r>
          </w:p>
        </w:tc>
      </w:tr>
    </w:tbl>
    <w:p>
      <w:r>
        <w:br w:type="page"/>
      </w:r>
    </w:p>
    <w:p>
      <w:pPr>
        <w:pStyle w:val="Heading1"/>
        <w:spacing w:after="140" w:before="280"/>
      </w:pPr>
      <w:r>
        <w:rPr>
          <w:rFonts w:ascii="Calibri" w:cs="Calibri" w:eastAsia="Calibri" w:hAnsi="Calibri"/>
          <w:b/>
          <w:bCs/>
          <w:color w:val="443152"/>
          <w:sz w:val="30"/>
          <w:szCs w:val="30"/>
        </w:rPr>
        <w:t xml:space="preserve">3.  The per-layer template — seven things every brief specifies</w:t>
      </w:r>
    </w:p>
    <w:p>
      <w:pPr>
        <w:spacing w:after="140" w:before="0" w:line="288"/>
      </w:pPr>
      <w:r>
        <w:rPr>
          <w:rFonts w:ascii="Calibri" w:cs="Calibri" w:eastAsia="Calibri" w:hAnsi="Calibri"/>
          <w:b w:val="false"/>
          <w:bCs w:val="false"/>
          <w:i w:val="false"/>
          <w:iCs w:val="false"/>
          <w:color w:val="222222"/>
          <w:sz w:val="22"/>
          <w:szCs w:val="22"/>
        </w:rPr>
        <w:t xml:space="preserve">Each layer’s page (§4–6) is structured the same way, so the comms team can move between layers without reorientation. Memorise this template; every brief lives inside it.</w:t>
      </w:r>
    </w:p>
    <w:tbl>
      <w:tblPr>
        <w:tblW w:type="dxa" w:w="9360"/>
        <w:tblBorders>
          <w:top w:val="single" w:color="D0D7DE" w:sz="2"/>
          <w:left w:val="single" w:color="D0D7DE" w:sz="2"/>
          <w:bottom w:val="single" w:color="D0D7DE" w:sz="2"/>
          <w:right w:val="single" w:color="D0D7DE" w:sz="2"/>
          <w:insideH w:val="single" w:color="D0D7DE" w:sz="2"/>
          <w:insideV w:val="single" w:color="D0D7DE" w:sz="2"/>
        </w:tblBorders>
      </w:tblPr>
      <w:tblGrid>
        <w:gridCol w:w="1400"/>
        <w:gridCol w:w="4500"/>
        <w:gridCol w:w="3460"/>
      </w:tblGrid>
      <w:tr>
        <w:trPr>
          <w:tblHeader/>
        </w:trPr>
        <w:tc>
          <w:tcPr>
            <w:tcW w:type="dxa" w:w="1400"/>
            <w:shd w:fill="443152"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Section</w:t>
            </w:r>
          </w:p>
        </w:tc>
        <w:tc>
          <w:tcPr>
            <w:tcW w:type="dxa" w:w="4500"/>
            <w:shd w:fill="443152"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What it is</w:t>
            </w:r>
          </w:p>
        </w:tc>
        <w:tc>
          <w:tcPr>
            <w:tcW w:type="dxa" w:w="3460"/>
            <w:shd w:fill="443152"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Used for</w:t>
            </w:r>
          </w:p>
        </w:tc>
      </w:tr>
      <w:tr>
        <w:tc>
          <w:tcPr>
            <w:tcW w:type="dxa" w:w="1400"/>
            <w:shd w:fill="FFFFFF" w:val="clear"/>
            <w:tcMar>
              <w:top w:type="dxa" w:w="80"/>
              <w:left w:type="dxa" w:w="130"/>
              <w:bottom w:type="dxa" w:w="80"/>
              <w:right w:type="dxa" w:w="130"/>
            </w:tcMar>
            <w:vAlign w:val="top"/>
          </w:tcPr>
          <w:p>
            <w:pPr>
              <w:spacing w:line="264"/>
            </w:pPr>
            <w:r>
              <w:rPr>
                <w:rFonts w:ascii="Calibri" w:cs="Calibri" w:eastAsia="Calibri" w:hAnsi="Calibri"/>
                <w:b/>
                <w:bCs/>
                <w:color w:val="222222"/>
                <w:sz w:val="19"/>
                <w:szCs w:val="19"/>
              </w:rPr>
              <w:t xml:space="preserve">A. Objective</w:t>
            </w:r>
          </w:p>
        </w:tc>
        <w:tc>
          <w:tcPr>
            <w:tcW w:type="dxa" w:w="4500"/>
            <w:shd w:fill="FFFFFF" w:val="clear"/>
            <w:tcMar>
              <w:top w:type="dxa" w:w="80"/>
              <w:left w:type="dxa" w:w="130"/>
              <w:bottom w:type="dxa" w:w="80"/>
              <w:right w:type="dxa" w:w="130"/>
            </w:tcMar>
            <w:vAlign w:val="top"/>
          </w:tcPr>
          <w:p>
            <w:pPr>
              <w:spacing w:line="264"/>
            </w:pPr>
            <w:r>
              <w:rPr>
                <w:rFonts w:ascii="Calibri" w:cs="Calibri" w:eastAsia="Calibri" w:hAnsi="Calibri"/>
                <w:b w:val="false"/>
                <w:bCs w:val="false"/>
                <w:i w:val="false"/>
                <w:iCs w:val="false"/>
                <w:color w:val="222222"/>
                <w:sz w:val="19"/>
                <w:szCs w:val="19"/>
              </w:rPr>
              <w:t xml:space="preserve">One sentence: the specific belief shift this layer’s messaging creates, and the action it unlocks.</w:t>
            </w:r>
          </w:p>
        </w:tc>
        <w:tc>
          <w:tcPr>
            <w:tcW w:type="dxa" w:w="3460"/>
            <w:shd w:fill="FFFFFF" w:val="clear"/>
            <w:tcMar>
              <w:top w:type="dxa" w:w="80"/>
              <w:left w:type="dxa" w:w="130"/>
              <w:bottom w:type="dxa" w:w="80"/>
              <w:right w:type="dxa" w:w="130"/>
            </w:tcMar>
            <w:vAlign w:val="top"/>
          </w:tcPr>
          <w:p>
            <w:pPr>
              <w:spacing w:line="264"/>
            </w:pPr>
            <w:r>
              <w:rPr>
                <w:rFonts w:ascii="Calibri" w:cs="Calibri" w:eastAsia="Calibri" w:hAnsi="Calibri"/>
                <w:b w:val="false"/>
                <w:bCs w:val="false"/>
                <w:i w:val="false"/>
                <w:iCs w:val="false"/>
                <w:color w:val="222222"/>
                <w:sz w:val="19"/>
                <w:szCs w:val="19"/>
              </w:rPr>
              <w:t xml:space="preserve">Aligning the creative on the actual cognitive job.</w:t>
            </w:r>
          </w:p>
        </w:tc>
      </w:tr>
      <w:tr>
        <w:tc>
          <w:tcPr>
            <w:tcW w:type="dxa" w:w="1400"/>
            <w:shd w:fill="FAFBFD" w:val="clear"/>
            <w:tcMar>
              <w:top w:type="dxa" w:w="80"/>
              <w:left w:type="dxa" w:w="130"/>
              <w:bottom w:type="dxa" w:w="80"/>
              <w:right w:type="dxa" w:w="130"/>
            </w:tcMar>
            <w:vAlign w:val="top"/>
          </w:tcPr>
          <w:p>
            <w:pPr>
              <w:spacing w:line="264"/>
            </w:pPr>
            <w:r>
              <w:rPr>
                <w:rFonts w:ascii="Calibri" w:cs="Calibri" w:eastAsia="Calibri" w:hAnsi="Calibri"/>
                <w:b/>
                <w:bCs/>
                <w:color w:val="222222"/>
                <w:sz w:val="19"/>
                <w:szCs w:val="19"/>
              </w:rPr>
              <w:t xml:space="preserve">B. Starting point</w:t>
            </w:r>
          </w:p>
        </w:tc>
        <w:tc>
          <w:tcPr>
            <w:tcW w:type="dxa" w:w="4500"/>
            <w:shd w:fill="FAFBFD" w:val="clear"/>
            <w:tcMar>
              <w:top w:type="dxa" w:w="80"/>
              <w:left w:type="dxa" w:w="130"/>
              <w:bottom w:type="dxa" w:w="80"/>
              <w:right w:type="dxa" w:w="130"/>
            </w:tcMar>
            <w:vAlign w:val="top"/>
          </w:tcPr>
          <w:p>
            <w:pPr>
              <w:spacing w:line="264"/>
            </w:pPr>
            <w:r>
              <w:rPr>
                <w:rFonts w:ascii="Calibri" w:cs="Calibri" w:eastAsia="Calibri" w:hAnsi="Calibri"/>
                <w:b w:val="false"/>
                <w:bCs w:val="false"/>
                <w:i w:val="false"/>
                <w:iCs w:val="false"/>
                <w:color w:val="222222"/>
                <w:sz w:val="19"/>
                <w:szCs w:val="19"/>
              </w:rPr>
              <w:t xml:space="preserve">What the user brings — gifts (knowledge to leverage), traps (assumptions to disrupt), lingo (their actual words).</w:t>
            </w:r>
          </w:p>
        </w:tc>
        <w:tc>
          <w:tcPr>
            <w:tcW w:type="dxa" w:w="3460"/>
            <w:shd w:fill="FAFBFD" w:val="clear"/>
            <w:tcMar>
              <w:top w:type="dxa" w:w="80"/>
              <w:left w:type="dxa" w:w="130"/>
              <w:bottom w:type="dxa" w:w="80"/>
              <w:right w:type="dxa" w:w="130"/>
            </w:tcMar>
            <w:vAlign w:val="top"/>
          </w:tcPr>
          <w:p>
            <w:pPr>
              <w:spacing w:line="264"/>
            </w:pPr>
            <w:r>
              <w:rPr>
                <w:rFonts w:ascii="Calibri" w:cs="Calibri" w:eastAsia="Calibri" w:hAnsi="Calibri"/>
                <w:b w:val="false"/>
                <w:bCs w:val="false"/>
                <w:i w:val="false"/>
                <w:iCs w:val="false"/>
                <w:color w:val="222222"/>
                <w:sz w:val="19"/>
                <w:szCs w:val="19"/>
              </w:rPr>
              <w:t xml:space="preserve">Designing the opening of the creative.</w:t>
            </w:r>
          </w:p>
        </w:tc>
      </w:tr>
      <w:tr>
        <w:tc>
          <w:tcPr>
            <w:tcW w:type="dxa" w:w="1400"/>
            <w:shd w:fill="FFFFFF" w:val="clear"/>
            <w:tcMar>
              <w:top w:type="dxa" w:w="80"/>
              <w:left w:type="dxa" w:w="130"/>
              <w:bottom w:type="dxa" w:w="80"/>
              <w:right w:type="dxa" w:w="130"/>
            </w:tcMar>
            <w:vAlign w:val="top"/>
          </w:tcPr>
          <w:p>
            <w:pPr>
              <w:spacing w:line="264"/>
            </w:pPr>
            <w:r>
              <w:rPr>
                <w:rFonts w:ascii="Calibri" w:cs="Calibri" w:eastAsia="Calibri" w:hAnsi="Calibri"/>
                <w:b/>
                <w:bCs/>
                <w:color w:val="222222"/>
                <w:sz w:val="19"/>
                <w:szCs w:val="19"/>
              </w:rPr>
              <w:t xml:space="preserve">C. The bridge</w:t>
            </w:r>
          </w:p>
        </w:tc>
        <w:tc>
          <w:tcPr>
            <w:tcW w:type="dxa" w:w="4500"/>
            <w:shd w:fill="FFFFFF" w:val="clear"/>
            <w:tcMar>
              <w:top w:type="dxa" w:w="80"/>
              <w:left w:type="dxa" w:w="130"/>
              <w:bottom w:type="dxa" w:w="80"/>
              <w:right w:type="dxa" w:w="130"/>
            </w:tcMar>
            <w:vAlign w:val="top"/>
          </w:tcPr>
          <w:p>
            <w:pPr>
              <w:spacing w:line="264"/>
            </w:pPr>
            <w:r>
              <w:rPr>
                <w:rFonts w:ascii="Calibri" w:cs="Calibri" w:eastAsia="Calibri" w:hAnsi="Calibri"/>
                <w:b w:val="false"/>
                <w:bCs w:val="false"/>
                <w:i w:val="false"/>
                <w:iCs w:val="false"/>
                <w:color w:val="222222"/>
                <w:sz w:val="19"/>
                <w:szCs w:val="19"/>
              </w:rPr>
              <w:t xml:space="preserve">The specific conceptual move from the user’s frame to Wiom’s.</w:t>
            </w:r>
          </w:p>
        </w:tc>
        <w:tc>
          <w:tcPr>
            <w:tcW w:type="dxa" w:w="3460"/>
            <w:shd w:fill="FFFFFF" w:val="clear"/>
            <w:tcMar>
              <w:top w:type="dxa" w:w="80"/>
              <w:left w:type="dxa" w:w="130"/>
              <w:bottom w:type="dxa" w:w="80"/>
              <w:right w:type="dxa" w:w="130"/>
            </w:tcMar>
            <w:vAlign w:val="top"/>
          </w:tcPr>
          <w:p>
            <w:pPr>
              <w:spacing w:line="264"/>
            </w:pPr>
            <w:r>
              <w:rPr>
                <w:rFonts w:ascii="Calibri" w:cs="Calibri" w:eastAsia="Calibri" w:hAnsi="Calibri"/>
                <w:b w:val="false"/>
                <w:bCs w:val="false"/>
                <w:i w:val="false"/>
                <w:iCs w:val="false"/>
                <w:color w:val="222222"/>
                <w:sz w:val="19"/>
                <w:szCs w:val="19"/>
              </w:rPr>
              <w:t xml:space="preserve">Naming the cognitive motion the creative must perform.</w:t>
            </w:r>
          </w:p>
        </w:tc>
      </w:tr>
      <w:tr>
        <w:tc>
          <w:tcPr>
            <w:tcW w:type="dxa" w:w="1400"/>
            <w:shd w:fill="FAFBFD" w:val="clear"/>
            <w:tcMar>
              <w:top w:type="dxa" w:w="80"/>
              <w:left w:type="dxa" w:w="130"/>
              <w:bottom w:type="dxa" w:w="80"/>
              <w:right w:type="dxa" w:w="130"/>
            </w:tcMar>
            <w:vAlign w:val="top"/>
          </w:tcPr>
          <w:p>
            <w:pPr>
              <w:spacing w:line="264"/>
            </w:pPr>
            <w:r>
              <w:rPr>
                <w:rFonts w:ascii="Calibri" w:cs="Calibri" w:eastAsia="Calibri" w:hAnsi="Calibri"/>
                <w:b/>
                <w:bCs/>
                <w:color w:val="222222"/>
                <w:sz w:val="19"/>
                <w:szCs w:val="19"/>
              </w:rPr>
              <w:t xml:space="preserve">D. The differentiator</w:t>
            </w:r>
          </w:p>
        </w:tc>
        <w:tc>
          <w:tcPr>
            <w:tcW w:type="dxa" w:w="4500"/>
            <w:shd w:fill="FAFBFD" w:val="clear"/>
            <w:tcMar>
              <w:top w:type="dxa" w:w="80"/>
              <w:left w:type="dxa" w:w="130"/>
              <w:bottom w:type="dxa" w:w="80"/>
              <w:right w:type="dxa" w:w="130"/>
            </w:tcMar>
            <w:vAlign w:val="top"/>
          </w:tcPr>
          <w:p>
            <w:pPr>
              <w:spacing w:line="264"/>
            </w:pPr>
            <w:r>
              <w:rPr>
                <w:rFonts w:ascii="Calibri" w:cs="Calibri" w:eastAsia="Calibri" w:hAnsi="Calibri"/>
                <w:b w:val="false"/>
                <w:bCs w:val="false"/>
                <w:i w:val="false"/>
                <w:iCs w:val="false"/>
                <w:color w:val="222222"/>
                <w:sz w:val="19"/>
                <w:szCs w:val="19"/>
              </w:rPr>
              <w:t xml:space="preserve">The single, specific Wiom value for this layer’s JTBD.</w:t>
            </w:r>
          </w:p>
        </w:tc>
        <w:tc>
          <w:tcPr>
            <w:tcW w:type="dxa" w:w="3460"/>
            <w:shd w:fill="FAFBFD" w:val="clear"/>
            <w:tcMar>
              <w:top w:type="dxa" w:w="80"/>
              <w:left w:type="dxa" w:w="130"/>
              <w:bottom w:type="dxa" w:w="80"/>
              <w:right w:type="dxa" w:w="130"/>
            </w:tcMar>
            <w:vAlign w:val="top"/>
          </w:tcPr>
          <w:p>
            <w:pPr>
              <w:spacing w:line="264"/>
            </w:pPr>
            <w:r>
              <w:rPr>
                <w:rFonts w:ascii="Calibri" w:cs="Calibri" w:eastAsia="Calibri" w:hAnsi="Calibri"/>
                <w:b w:val="false"/>
                <w:bCs w:val="false"/>
                <w:i w:val="false"/>
                <w:iCs w:val="false"/>
                <w:color w:val="222222"/>
                <w:sz w:val="19"/>
                <w:szCs w:val="19"/>
              </w:rPr>
              <w:t xml:space="preserve">Picking the one thing this creative makes unmistakable.</w:t>
            </w:r>
          </w:p>
        </w:tc>
      </w:tr>
      <w:tr>
        <w:tc>
          <w:tcPr>
            <w:tcW w:type="dxa" w:w="1400"/>
            <w:shd w:fill="FFFFFF" w:val="clear"/>
            <w:tcMar>
              <w:top w:type="dxa" w:w="80"/>
              <w:left w:type="dxa" w:w="130"/>
              <w:bottom w:type="dxa" w:w="80"/>
              <w:right w:type="dxa" w:w="130"/>
            </w:tcMar>
            <w:vAlign w:val="top"/>
          </w:tcPr>
          <w:p>
            <w:pPr>
              <w:spacing w:line="264"/>
            </w:pPr>
            <w:r>
              <w:rPr>
                <w:rFonts w:ascii="Calibri" w:cs="Calibri" w:eastAsia="Calibri" w:hAnsi="Calibri"/>
                <w:b/>
                <w:bCs/>
                <w:color w:val="222222"/>
                <w:sz w:val="19"/>
                <w:szCs w:val="19"/>
              </w:rPr>
              <w:t xml:space="preserve">E. Must NOT do</w:t>
            </w:r>
          </w:p>
        </w:tc>
        <w:tc>
          <w:tcPr>
            <w:tcW w:type="dxa" w:w="4500"/>
            <w:shd w:fill="FFFFFF" w:val="clear"/>
            <w:tcMar>
              <w:top w:type="dxa" w:w="80"/>
              <w:left w:type="dxa" w:w="130"/>
              <w:bottom w:type="dxa" w:w="80"/>
              <w:right w:type="dxa" w:w="130"/>
            </w:tcMar>
            <w:vAlign w:val="top"/>
          </w:tcPr>
          <w:p>
            <w:pPr>
              <w:spacing w:line="264"/>
            </w:pPr>
            <w:r>
              <w:rPr>
                <w:rFonts w:ascii="Calibri" w:cs="Calibri" w:eastAsia="Calibri" w:hAnsi="Calibri"/>
                <w:b w:val="false"/>
                <w:bCs w:val="false"/>
                <w:i w:val="false"/>
                <w:iCs w:val="false"/>
                <w:color w:val="222222"/>
                <w:sz w:val="19"/>
                <w:szCs w:val="19"/>
              </w:rPr>
              <w:t xml:space="preserve">Boundaries drawn from the May sprint and the contamination logic.</w:t>
            </w:r>
          </w:p>
        </w:tc>
        <w:tc>
          <w:tcPr>
            <w:tcW w:type="dxa" w:w="3460"/>
            <w:shd w:fill="FFFFFF" w:val="clear"/>
            <w:tcMar>
              <w:top w:type="dxa" w:w="80"/>
              <w:left w:type="dxa" w:w="130"/>
              <w:bottom w:type="dxa" w:w="80"/>
              <w:right w:type="dxa" w:w="130"/>
            </w:tcMar>
            <w:vAlign w:val="top"/>
          </w:tcPr>
          <w:p>
            <w:pPr>
              <w:spacing w:line="264"/>
            </w:pPr>
            <w:r>
              <w:rPr>
                <w:rFonts w:ascii="Calibri" w:cs="Calibri" w:eastAsia="Calibri" w:hAnsi="Calibri"/>
                <w:b w:val="false"/>
                <w:bCs w:val="false"/>
                <w:i w:val="false"/>
                <w:iCs w:val="false"/>
                <w:color w:val="222222"/>
                <w:sz w:val="19"/>
                <w:szCs w:val="19"/>
              </w:rPr>
              <w:t xml:space="preserve">Veto list during creative review.</w:t>
            </w:r>
          </w:p>
        </w:tc>
      </w:tr>
      <w:tr>
        <w:tc>
          <w:tcPr>
            <w:tcW w:type="dxa" w:w="1400"/>
            <w:shd w:fill="FAFBFD" w:val="clear"/>
            <w:tcMar>
              <w:top w:type="dxa" w:w="80"/>
              <w:left w:type="dxa" w:w="130"/>
              <w:bottom w:type="dxa" w:w="80"/>
              <w:right w:type="dxa" w:w="130"/>
            </w:tcMar>
            <w:vAlign w:val="top"/>
          </w:tcPr>
          <w:p>
            <w:pPr>
              <w:spacing w:line="264"/>
            </w:pPr>
            <w:r>
              <w:rPr>
                <w:rFonts w:ascii="Calibri" w:cs="Calibri" w:eastAsia="Calibri" w:hAnsi="Calibri"/>
                <w:b/>
                <w:bCs/>
                <w:color w:val="222222"/>
                <w:sz w:val="19"/>
                <w:szCs w:val="19"/>
              </w:rPr>
              <w:t xml:space="preserve">F. Proof structures</w:t>
            </w:r>
          </w:p>
        </w:tc>
        <w:tc>
          <w:tcPr>
            <w:tcW w:type="dxa" w:w="4500"/>
            <w:shd w:fill="FAFBFD" w:val="clear"/>
            <w:tcMar>
              <w:top w:type="dxa" w:w="80"/>
              <w:left w:type="dxa" w:w="130"/>
              <w:bottom w:type="dxa" w:w="80"/>
              <w:right w:type="dxa" w:w="130"/>
            </w:tcMar>
            <w:vAlign w:val="top"/>
          </w:tcPr>
          <w:p>
            <w:pPr>
              <w:spacing w:line="264"/>
            </w:pPr>
            <w:r>
              <w:rPr>
                <w:rFonts w:ascii="Calibri" w:cs="Calibri" w:eastAsia="Calibri" w:hAnsi="Calibri"/>
                <w:b w:val="false"/>
                <w:bCs w:val="false"/>
                <w:i w:val="false"/>
                <w:iCs w:val="false"/>
                <w:color w:val="222222"/>
                <w:sz w:val="19"/>
                <w:szCs w:val="19"/>
              </w:rPr>
              <w:t xml:space="preserve">Sprint-informed rules: what worked, what to repeat.</w:t>
            </w:r>
          </w:p>
        </w:tc>
        <w:tc>
          <w:tcPr>
            <w:tcW w:type="dxa" w:w="3460"/>
            <w:shd w:fill="FAFBFD" w:val="clear"/>
            <w:tcMar>
              <w:top w:type="dxa" w:w="80"/>
              <w:left w:type="dxa" w:w="130"/>
              <w:bottom w:type="dxa" w:w="80"/>
              <w:right w:type="dxa" w:w="130"/>
            </w:tcMar>
            <w:vAlign w:val="top"/>
          </w:tcPr>
          <w:p>
            <w:pPr>
              <w:spacing w:line="264"/>
            </w:pPr>
            <w:r>
              <w:rPr>
                <w:rFonts w:ascii="Calibri" w:cs="Calibri" w:eastAsia="Calibri" w:hAnsi="Calibri"/>
                <w:b w:val="false"/>
                <w:bCs w:val="false"/>
                <w:i w:val="false"/>
                <w:iCs w:val="false"/>
                <w:color w:val="222222"/>
                <w:sz w:val="19"/>
                <w:szCs w:val="19"/>
              </w:rPr>
              <w:t xml:space="preserve">Picking the visual/copy structure for the creative.</w:t>
            </w:r>
          </w:p>
        </w:tc>
      </w:tr>
      <w:tr>
        <w:tc>
          <w:tcPr>
            <w:tcW w:type="dxa" w:w="1400"/>
            <w:shd w:fill="FFFFFF" w:val="clear"/>
            <w:tcMar>
              <w:top w:type="dxa" w:w="80"/>
              <w:left w:type="dxa" w:w="130"/>
              <w:bottom w:type="dxa" w:w="80"/>
              <w:right w:type="dxa" w:w="130"/>
            </w:tcMar>
            <w:vAlign w:val="top"/>
          </w:tcPr>
          <w:p>
            <w:pPr>
              <w:spacing w:line="264"/>
            </w:pPr>
            <w:r>
              <w:rPr>
                <w:rFonts w:ascii="Calibri" w:cs="Calibri" w:eastAsia="Calibri" w:hAnsi="Calibri"/>
                <w:b/>
                <w:bCs/>
                <w:color w:val="222222"/>
                <w:sz w:val="19"/>
                <w:szCs w:val="19"/>
              </w:rPr>
              <w:t xml:space="preserve">G. Success criteria</w:t>
            </w:r>
          </w:p>
        </w:tc>
        <w:tc>
          <w:tcPr>
            <w:tcW w:type="dxa" w:w="4500"/>
            <w:shd w:fill="FFFFFF" w:val="clear"/>
            <w:tcMar>
              <w:top w:type="dxa" w:w="80"/>
              <w:left w:type="dxa" w:w="130"/>
              <w:bottom w:type="dxa" w:w="80"/>
              <w:right w:type="dxa" w:w="130"/>
            </w:tcMar>
            <w:vAlign w:val="top"/>
          </w:tcPr>
          <w:p>
            <w:pPr>
              <w:spacing w:line="264"/>
            </w:pPr>
            <w:r>
              <w:rPr>
                <w:rFonts w:ascii="Calibri" w:cs="Calibri" w:eastAsia="Calibri" w:hAnsi="Calibri"/>
                <w:b w:val="false"/>
                <w:bCs w:val="false"/>
                <w:i w:val="false"/>
                <w:iCs w:val="false"/>
                <w:color w:val="222222"/>
                <w:sz w:val="19"/>
                <w:szCs w:val="19"/>
              </w:rPr>
              <w:t xml:space="preserve">Pre-launch comprehension test + post-launch cohort test.</w:t>
            </w:r>
          </w:p>
        </w:tc>
        <w:tc>
          <w:tcPr>
            <w:tcW w:type="dxa" w:w="3460"/>
            <w:shd w:fill="FFFFFF" w:val="clear"/>
            <w:tcMar>
              <w:top w:type="dxa" w:w="80"/>
              <w:left w:type="dxa" w:w="130"/>
              <w:bottom w:type="dxa" w:w="80"/>
              <w:right w:type="dxa" w:w="130"/>
            </w:tcMar>
            <w:vAlign w:val="top"/>
          </w:tcPr>
          <w:p>
            <w:pPr>
              <w:spacing w:line="264"/>
            </w:pPr>
            <w:r>
              <w:rPr>
                <w:rFonts w:ascii="Calibri" w:cs="Calibri" w:eastAsia="Calibri" w:hAnsi="Calibri"/>
                <w:b w:val="false"/>
                <w:bCs w:val="false"/>
                <w:i w:val="false"/>
                <w:iCs w:val="false"/>
                <w:color w:val="222222"/>
                <w:sz w:val="19"/>
                <w:szCs w:val="19"/>
              </w:rPr>
              <w:t xml:space="preserve">Knowing whether the creative actually worked.</w:t>
            </w:r>
          </w:p>
        </w:tc>
      </w:tr>
    </w:tbl>
    <w:p>
      <w:r>
        <w:br w:type="page"/>
      </w:r>
    </w:p>
    <w:p>
      <w:pPr>
        <w:pStyle w:val="Heading1"/>
        <w:spacing w:after="140" w:before="280"/>
      </w:pPr>
      <w:r>
        <w:rPr>
          <w:rFonts w:ascii="Calibri" w:cs="Calibri" w:eastAsia="Calibri" w:hAnsi="Calibri"/>
          <w:b/>
          <w:bCs/>
          <w:color w:val="443152"/>
          <w:sz w:val="30"/>
          <w:szCs w:val="30"/>
        </w:rPr>
        <w:t xml:space="preserve">4.  L1 — Ready buyer</w:t>
      </w:r>
    </w:p>
    <w:p>
      <w:pPr>
        <w:spacing w:after="140" w:before="0" w:line="288"/>
      </w:pPr>
      <w:r>
        <w:rPr>
          <w:rFonts w:ascii="Calibri" w:cs="Calibri" w:eastAsia="Calibri" w:hAnsi="Calibri"/>
          <w:b w:val="false"/>
          <w:bCs w:val="false"/>
          <w:i/>
          <w:iCs/>
          <w:color w:val="5A6B80"/>
          <w:sz w:val="22"/>
          <w:szCs w:val="22"/>
        </w:rPr>
        <w:t xml:space="preserve">“I want home WiFi now.” They have decided to buy home internet and are choosing a provider this week. Active, comparison-mode, incumbent-trained.</w:t>
      </w:r>
    </w:p>
    <w:p>
      <w:pPr>
        <w:spacing w:after="80" w:before="160"/>
      </w:pPr>
      <w:r>
        <w:rPr>
          <w:rFonts w:ascii="Calibri" w:cs="Calibri" w:eastAsia="Calibri" w:hAnsi="Calibri"/>
          <w:b/>
          <w:bCs/>
          <w:color w:val="D9008D"/>
          <w:sz w:val="22"/>
          <w:szCs w:val="22"/>
        </w:rPr>
        <w:t xml:space="preserve">A. Objective</w:t>
      </w:r>
    </w:p>
    <w:tbl>
      <w:tblPr>
        <w:tblW w:type="dxa" w:w="9360"/>
        <w:tblBorders>
          <w:top w:val="single" w:color="FFE5F6" w:sz="2"/>
          <w:left w:val="single" w:color="D9008D" w:sz="28"/>
          <w:bottom w:val="single" w:color="FFE5F6" w:sz="2"/>
          <w:right w:val="single" w:color="FFE5F6" w:sz="2"/>
          <w:insideH w:val="single" w:color="auto" w:sz="4"/>
          <w:insideV w:val="single" w:color="auto" w:sz="4"/>
        </w:tblBorders>
      </w:tblPr>
      <w:tblGrid>
        <w:gridCol w:w="9360"/>
      </w:tblGrid>
      <w:tr>
        <w:tc>
          <w:tcPr>
            <w:tcW w:type="dxa" w:w="9360"/>
            <w:shd w:fill="FFE5F6" w:val="clear"/>
            <w:tcMar>
              <w:top w:type="dxa" w:w="120"/>
              <w:left w:type="dxa" w:w="200"/>
              <w:bottom w:type="dxa" w:w="120"/>
              <w:right w:type="dxa" w:w="160"/>
            </w:tcMar>
          </w:tcPr>
          <w:p>
            <w:pPr>
              <w:spacing w:after="60"/>
            </w:pPr>
            <w:r>
              <w:rPr>
                <w:rFonts w:ascii="Calibri" w:cs="Calibri" w:eastAsia="Calibri" w:hAnsi="Calibri"/>
                <w:b/>
                <w:bCs/>
                <w:color w:val="D9008D"/>
                <w:sz w:val="18"/>
                <w:szCs w:val="18"/>
              </w:rPr>
              <w:t xml:space="preserve">LAYER OBJECTIVE</w:t>
            </w:r>
          </w:p>
          <w:p>
            <w:pPr>
              <w:spacing w:after="0" w:line="282"/>
            </w:pPr>
            <w:r>
              <w:rPr>
                <w:rFonts w:ascii="Calibri" w:cs="Calibri" w:eastAsia="Calibri" w:hAnsi="Calibri"/>
                <w:b/>
                <w:bCs/>
                <w:color w:val="443152"/>
                <w:sz w:val="20"/>
                <w:szCs w:val="20"/>
              </w:rPr>
              <w:t xml:space="preserve">Bridge the user from “I’m shopping WiFi options” to “Wiom is poore ghar ka net — and flexibility is what makes it different.” Land the category as a new thing they recognise, not a cheaper version of WiFi.</w:t>
            </w:r>
          </w:p>
        </w:tc>
      </w:tr>
    </w:tbl>
    <w:p>
      <w:pPr>
        <w:spacing w:after="80" w:before="160"/>
      </w:pPr>
      <w:r>
        <w:rPr>
          <w:rFonts w:ascii="Calibri" w:cs="Calibri" w:eastAsia="Calibri" w:hAnsi="Calibri"/>
          <w:b/>
          <w:bCs/>
          <w:color w:val="D9008D"/>
          <w:sz w:val="22"/>
          <w:szCs w:val="22"/>
        </w:rPr>
        <w:t xml:space="preserve">B. Starting point — what the user brings</w:t>
      </w:r>
    </w:p>
    <w:tbl>
      <w:tblPr>
        <w:tblW w:type="dxa" w:w="9360"/>
        <w:tblBorders>
          <w:top w:val="single" w:color="D0D7DE" w:sz="2"/>
          <w:left w:val="single" w:color="D0D7DE" w:sz="2"/>
          <w:bottom w:val="single" w:color="D0D7DE" w:sz="2"/>
          <w:right w:val="single" w:color="D0D7DE" w:sz="2"/>
          <w:insideH w:val="single" w:color="D0D7DE" w:sz="2"/>
          <w:insideV w:val="single" w:color="D0D7DE" w:sz="2"/>
        </w:tblBorders>
      </w:tblPr>
      <w:tblGrid>
        <w:gridCol w:w="2100"/>
        <w:gridCol w:w="7260"/>
      </w:tblGrid>
      <w:tr>
        <w:trPr>
          <w:tblHeader/>
        </w:trPr>
        <w:tc>
          <w:tcPr>
            <w:tcW w:type="dxa" w:w="2100"/>
            <w:shd w:fill="443152"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
            </w:r>
          </w:p>
        </w:tc>
        <w:tc>
          <w:tcPr>
            <w:tcW w:type="dxa" w:w="7260"/>
            <w:shd w:fill="443152"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
            </w:r>
          </w:p>
        </w:tc>
      </w:tr>
      <w:tr>
        <w:tc>
          <w:tcPr>
            <w:tcW w:type="dxa" w:w="2100"/>
            <w:shd w:fill="FFFFFF" w:val="clear"/>
            <w:tcMar>
              <w:top w:type="dxa" w:w="80"/>
              <w:left w:type="dxa" w:w="130"/>
              <w:bottom w:type="dxa" w:w="80"/>
              <w:right w:type="dxa" w:w="130"/>
            </w:tcMar>
            <w:vAlign w:val="top"/>
          </w:tcPr>
          <w:p>
            <w:pPr>
              <w:spacing w:line="264"/>
            </w:pPr>
            <w:r>
              <w:rPr>
                <w:rFonts w:ascii="Calibri" w:cs="Calibri" w:eastAsia="Calibri" w:hAnsi="Calibri"/>
                <w:b/>
                <w:bCs/>
                <w:color w:val="1B7F5C"/>
                <w:sz w:val="18"/>
                <w:szCs w:val="18"/>
              </w:rPr>
              <w:t xml:space="preserve">Gifts (leverage)</w:t>
            </w:r>
          </w:p>
        </w:tc>
        <w:tc>
          <w:tcPr>
            <w:tcW w:type="dxa" w:w="7260"/>
            <w:shd w:fill="FFFFFF" w:val="clear"/>
            <w:tcMar>
              <w:top w:type="dxa" w:w="80"/>
              <w:left w:type="dxa" w:w="130"/>
              <w:bottom w:type="dxa" w:w="80"/>
              <w:right w:type="dxa" w:w="130"/>
            </w:tcMar>
            <w:vAlign w:val="top"/>
          </w:tcPr>
          <w:p>
            <w:pPr>
              <w:spacing w:line="264"/>
            </w:pPr>
            <w:r>
              <w:rPr>
                <w:rFonts w:ascii="Calibri" w:cs="Calibri" w:eastAsia="Calibri" w:hAnsi="Calibri"/>
                <w:b w:val="false"/>
                <w:bCs w:val="false"/>
                <w:i w:val="false"/>
                <w:iCs w:val="false"/>
                <w:color w:val="222222"/>
                <w:sz w:val="19"/>
                <w:szCs w:val="19"/>
              </w:rPr>
              <w:t xml:space="preserve">Already knows “WiFi,” “ghar,” “net,” and “recharge” as a payment concept. Has active home-internet intent.</w:t>
            </w:r>
          </w:p>
        </w:tc>
      </w:tr>
      <w:tr>
        <w:tc>
          <w:tcPr>
            <w:tcW w:type="dxa" w:w="2100"/>
            <w:shd w:fill="FAFBFD" w:val="clear"/>
            <w:tcMar>
              <w:top w:type="dxa" w:w="80"/>
              <w:left w:type="dxa" w:w="130"/>
              <w:bottom w:type="dxa" w:w="80"/>
              <w:right w:type="dxa" w:w="130"/>
            </w:tcMar>
            <w:vAlign w:val="top"/>
          </w:tcPr>
          <w:p>
            <w:pPr>
              <w:spacing w:line="264"/>
            </w:pPr>
            <w:r>
              <w:rPr>
                <w:rFonts w:ascii="Calibri" w:cs="Calibri" w:eastAsia="Calibri" w:hAnsi="Calibri"/>
                <w:b/>
                <w:bCs/>
                <w:color w:val="C62828"/>
                <w:sz w:val="18"/>
                <w:szCs w:val="18"/>
              </w:rPr>
              <w:t xml:space="preserve">Traps (disrupt)</w:t>
            </w:r>
          </w:p>
        </w:tc>
        <w:tc>
          <w:tcPr>
            <w:tcW w:type="dxa" w:w="7260"/>
            <w:shd w:fill="FAFBFD" w:val="clear"/>
            <w:tcMar>
              <w:top w:type="dxa" w:w="80"/>
              <w:left w:type="dxa" w:w="130"/>
              <w:bottom w:type="dxa" w:w="80"/>
              <w:right w:type="dxa" w:w="130"/>
            </w:tcMar>
            <w:vAlign w:val="top"/>
          </w:tcPr>
          <w:p>
            <w:pPr>
              <w:spacing w:line="264"/>
            </w:pPr>
            <w:r>
              <w:rPr>
                <w:rFonts w:ascii="Calibri" w:cs="Calibri" w:eastAsia="Calibri" w:hAnsi="Calibri"/>
                <w:b w:val="false"/>
                <w:bCs w:val="false"/>
                <w:i w:val="false"/>
                <w:iCs w:val="false"/>
                <w:color w:val="222222"/>
                <w:sz w:val="19"/>
                <w:szCs w:val="19"/>
              </w:rPr>
              <w:t xml:space="preserve">Defaults to provider-comparison mode (Jio/Airtel/ACT). “Recharge” triggers the mobile-data schema. Expects monthly plan + speed pitch.</w:t>
            </w:r>
          </w:p>
        </w:tc>
      </w:tr>
      <w:tr>
        <w:tc>
          <w:tcPr>
            <w:tcW w:type="dxa" w:w="2100"/>
            <w:shd w:fill="FFFFFF" w:val="clear"/>
            <w:tcMar>
              <w:top w:type="dxa" w:w="80"/>
              <w:left w:type="dxa" w:w="130"/>
              <w:bottom w:type="dxa" w:w="80"/>
              <w:right w:type="dxa" w:w="130"/>
            </w:tcMar>
            <w:vAlign w:val="top"/>
          </w:tcPr>
          <w:p>
            <w:pPr>
              <w:spacing w:line="264"/>
            </w:pPr>
            <w:r>
              <w:rPr>
                <w:rFonts w:ascii="Calibri" w:cs="Calibri" w:eastAsia="Calibri" w:hAnsi="Calibri"/>
                <w:b/>
                <w:bCs/>
                <w:color w:val="5A6B80"/>
                <w:sz w:val="18"/>
                <w:szCs w:val="18"/>
              </w:rPr>
              <w:t xml:space="preserve">Lingo they bring</w:t>
            </w:r>
          </w:p>
        </w:tc>
        <w:tc>
          <w:tcPr>
            <w:tcW w:type="dxa" w:w="7260"/>
            <w:shd w:fill="FFFFFF" w:val="clear"/>
            <w:tcMar>
              <w:top w:type="dxa" w:w="80"/>
              <w:left w:type="dxa" w:w="130"/>
              <w:bottom w:type="dxa" w:w="80"/>
              <w:right w:type="dxa" w:w="130"/>
            </w:tcMar>
            <w:vAlign w:val="top"/>
          </w:tcPr>
          <w:p>
            <w:pPr>
              <w:spacing w:line="264"/>
            </w:pPr>
            <w:r>
              <w:rPr>
                <w:rFonts w:ascii="Calibri" w:cs="Calibri" w:eastAsia="Calibri" w:hAnsi="Calibri"/>
                <w:b w:val="false"/>
                <w:bCs w:val="false"/>
                <w:i w:val="false"/>
                <w:iCs w:val="false"/>
                <w:color w:val="222222"/>
                <w:sz w:val="19"/>
                <w:szCs w:val="19"/>
              </w:rPr>
              <w:t xml:space="preserve">WiFi, plan, monthly, speed, unlimited, broadband.</w:t>
            </w:r>
          </w:p>
        </w:tc>
      </w:tr>
    </w:tbl>
    <w:p>
      <w:pPr>
        <w:spacing w:after="80"/>
      </w:pPr>
    </w:p>
    <w:p>
      <w:pPr>
        <w:spacing w:after="80" w:before="160"/>
      </w:pPr>
      <w:r>
        <w:rPr>
          <w:rFonts w:ascii="Calibri" w:cs="Calibri" w:eastAsia="Calibri" w:hAnsi="Calibri"/>
          <w:b/>
          <w:bCs/>
          <w:color w:val="D9008D"/>
          <w:sz w:val="22"/>
          <w:szCs w:val="22"/>
        </w:rPr>
        <w:t xml:space="preserve">C. The bridge to build</w:t>
      </w:r>
    </w:p>
    <w:p>
      <w:pPr>
        <w:spacing w:after="140" w:before="0" w:line="288"/>
      </w:pPr>
      <w:r>
        <w:rPr>
          <w:rFonts w:ascii="Calibri" w:cs="Calibri" w:eastAsia="Calibri" w:hAnsi="Calibri"/>
          <w:b w:val="false"/>
          <w:bCs w:val="false"/>
          <w:i w:val="false"/>
          <w:iCs w:val="false"/>
          <w:color w:val="222222"/>
          <w:sz w:val="22"/>
          <w:szCs w:val="22"/>
        </w:rPr>
        <w:t xml:space="preserve">“Recharge” (payment concept they own) + “ghar ka net” (whole-home internet they own) = a new but accessible category. The cognitive motion: “which WiFi brand do I pick” → “this is a different way to have home internet” → “and flexibility is why it’s worth choosing.”</w:t>
      </w:r>
    </w:p>
    <w:p>
      <w:pPr>
        <w:spacing w:after="80" w:before="160"/>
      </w:pPr>
      <w:r>
        <w:rPr>
          <w:rFonts w:ascii="Calibri" w:cs="Calibri" w:eastAsia="Calibri" w:hAnsi="Calibri"/>
          <w:b/>
          <w:bCs/>
          <w:color w:val="D9008D"/>
          <w:sz w:val="22"/>
          <w:szCs w:val="22"/>
        </w:rPr>
        <w:t xml:space="preserve">D. The differentiator to land</w:t>
      </w:r>
    </w:p>
    <w:p>
      <w:pPr>
        <w:spacing w:after="140" w:before="0" w:line="288"/>
      </w:pPr>
      <w:r>
        <w:rPr>
          <w:rFonts w:ascii="Calibri" w:cs="Calibri" w:eastAsia="Calibri" w:hAnsi="Calibri"/>
          <w:b/>
          <w:bCs/>
          <w:i w:val="false"/>
          <w:iCs w:val="false"/>
          <w:color w:val="222222"/>
          <w:sz w:val="22"/>
          <w:szCs w:val="22"/>
        </w:rPr>
        <w:t xml:space="preserve">Flexibility. </w:t>
      </w:r>
      <w:r>
        <w:rPr>
          <w:rFonts w:ascii="Calibri" w:cs="Calibri" w:eastAsia="Calibri" w:hAnsi="Calibri"/>
          <w:b w:val="false"/>
          <w:bCs w:val="false"/>
          <w:i w:val="false"/>
          <w:iCs w:val="false"/>
          <w:color w:val="222222"/>
          <w:sz w:val="22"/>
          <w:szCs w:val="22"/>
        </w:rPr>
        <w:t xml:space="preserve">Pay only for the days you use. “1 din ka recharge, 7 din ka recharge — jab chahiye, tab.” The granularity is the proof; no incumbent offers it. The granularity </w:t>
      </w:r>
      <w:r>
        <w:rPr>
          <w:rFonts w:ascii="Calibri" w:cs="Calibri" w:eastAsia="Calibri" w:hAnsi="Calibri"/>
          <w:b w:val="false"/>
          <w:bCs w:val="false"/>
          <w:i/>
          <w:iCs/>
          <w:color w:val="222222"/>
          <w:sz w:val="22"/>
          <w:szCs w:val="22"/>
        </w:rPr>
        <w:t xml:space="preserve">is</w:t>
      </w:r>
      <w:r>
        <w:rPr>
          <w:rFonts w:ascii="Calibri" w:cs="Calibri" w:eastAsia="Calibri" w:hAnsi="Calibri"/>
          <w:b w:val="false"/>
          <w:bCs w:val="false"/>
          <w:i w:val="false"/>
          <w:iCs w:val="false"/>
          <w:color w:val="222222"/>
          <w:sz w:val="22"/>
          <w:szCs w:val="22"/>
        </w:rPr>
        <w:t xml:space="preserve"> the value prop.</w:t>
      </w:r>
    </w:p>
    <w:p>
      <w:pPr>
        <w:spacing w:after="80" w:before="160"/>
      </w:pPr>
      <w:r>
        <w:rPr>
          <w:rFonts w:ascii="Calibri" w:cs="Calibri" w:eastAsia="Calibri" w:hAnsi="Calibri"/>
          <w:b/>
          <w:bCs/>
          <w:color w:val="D9008D"/>
          <w:sz w:val="22"/>
          <w:szCs w:val="22"/>
        </w:rPr>
        <w:t xml:space="preserve">E. What L1 messaging must NOT do</w:t>
      </w:r>
    </w:p>
    <w:p>
      <w:pPr>
        <w:pStyle w:val="ListParagraph"/>
        <w:numPr>
          <w:ilvl w:val="0"/>
          <w:numId w:val="5"/>
        </w:numPr>
        <w:spacing w:after="80" w:line="282"/>
      </w:pPr>
      <w:r>
        <w:rPr>
          <w:rFonts w:ascii="Calibri" w:cs="Calibri" w:eastAsia="Calibri" w:hAnsi="Calibri"/>
          <w:b/>
          <w:bCs/>
          <w:i w:val="false"/>
          <w:iCs w:val="false"/>
          <w:color w:val="222222"/>
          <w:sz w:val="22"/>
          <w:szCs w:val="22"/>
        </w:rPr>
        <w:t xml:space="preserve">Don’t lead with WiFi as a standalone noun.</w:t>
      </w:r>
      <w:r>
        <w:rPr>
          <w:rFonts w:ascii="Calibri" w:cs="Calibri" w:eastAsia="Calibri" w:hAnsi="Calibri"/>
          <w:b w:val="false"/>
          <w:bCs w:val="false"/>
          <w:i w:val="false"/>
          <w:iCs w:val="false"/>
          <w:color w:val="222222"/>
          <w:sz w:val="22"/>
          <w:szCs w:val="22"/>
        </w:rPr>
        <w:t xml:space="preserve"> Naming it without a strong RWGKN destination traps the user inside the broadband schema. </w:t>
      </w:r>
      <w:r>
        <w:rPr>
          <w:rFonts w:ascii="Calibri" w:cs="Calibri" w:eastAsia="Calibri" w:hAnsi="Calibri"/>
          <w:b w:val="false"/>
          <w:bCs w:val="false"/>
          <w:i/>
          <w:iCs/>
          <w:color w:val="222222"/>
          <w:sz w:val="22"/>
          <w:szCs w:val="22"/>
        </w:rPr>
        <w:t xml:space="preserve">Category contrast is permitted only when the destination test (Contrast Doctrine §5A) lands on RWGKN</w:t>
      </w:r>
      <w:r>
        <w:rPr>
          <w:rFonts w:ascii="Calibri" w:cs="Calibri" w:eastAsia="Calibri" w:hAnsi="Calibri"/>
          <w:b w:val="false"/>
          <w:bCs w:val="false"/>
          <w:i w:val="false"/>
          <w:iCs w:val="false"/>
          <w:color w:val="222222"/>
          <w:sz w:val="22"/>
          <w:szCs w:val="22"/>
        </w:rPr>
        <w:t xml:space="preserve"> — e.g., “Not the WiFi you know — recharge-wala ghar ka net” or “Monthly WiFi? Ya recharge-wala ghar ka net?” Forbidden: “WiFi se better” / “Why pay for WiFi” / “WiFi ki zaroorat nahi.” Full permitted/forbidden patterns: Doctrine §6A. Test, don’t assume.</w:t>
      </w:r>
    </w:p>
    <w:p>
      <w:pPr>
        <w:pStyle w:val="ListParagraph"/>
        <w:numPr>
          <w:ilvl w:val="0"/>
          <w:numId w:val="5"/>
        </w:numPr>
        <w:spacing w:after="80" w:line="282"/>
      </w:pPr>
      <w:r>
        <w:rPr>
          <w:rFonts w:ascii="Calibri" w:cs="Calibri" w:eastAsia="Calibri" w:hAnsi="Calibri"/>
          <w:b/>
          <w:bCs/>
          <w:i w:val="false"/>
          <w:iCs w:val="false"/>
          <w:color w:val="222222"/>
          <w:sz w:val="22"/>
          <w:szCs w:val="22"/>
        </w:rPr>
        <w:t xml:space="preserve">Don’t compare to Jio / Airtel / ACT.</w:t>
      </w:r>
      <w:r>
        <w:rPr>
          <w:rFonts w:ascii="Calibri" w:cs="Calibri" w:eastAsia="Calibri" w:hAnsi="Calibri"/>
          <w:b w:val="false"/>
          <w:bCs w:val="false"/>
          <w:i w:val="false"/>
          <w:iCs w:val="false"/>
          <w:color w:val="222222"/>
          <w:sz w:val="22"/>
          <w:szCs w:val="22"/>
        </w:rPr>
        <w:t xml:space="preserve"> Accepting their frame loses the category fight.</w:t>
      </w:r>
    </w:p>
    <w:p>
      <w:pPr>
        <w:pStyle w:val="ListParagraph"/>
        <w:numPr>
          <w:ilvl w:val="0"/>
          <w:numId w:val="5"/>
        </w:numPr>
        <w:spacing w:after="80" w:line="282"/>
      </w:pPr>
      <w:r>
        <w:rPr>
          <w:rFonts w:ascii="Calibri" w:cs="Calibri" w:eastAsia="Calibri" w:hAnsi="Calibri"/>
          <w:b/>
          <w:bCs/>
          <w:i w:val="false"/>
          <w:iCs w:val="false"/>
          <w:color w:val="222222"/>
          <w:sz w:val="22"/>
          <w:szCs w:val="22"/>
        </w:rPr>
        <w:t xml:space="preserve">Don’t add occasion examples (match, exam).</w:t>
      </w:r>
      <w:r>
        <w:rPr>
          <w:rFonts w:ascii="Calibri" w:cs="Calibri" w:eastAsia="Calibri" w:hAnsi="Calibri"/>
          <w:b w:val="false"/>
          <w:bCs w:val="false"/>
          <w:i w:val="false"/>
          <w:iCs w:val="false"/>
          <w:color w:val="222222"/>
          <w:sz w:val="22"/>
          <w:szCs w:val="22"/>
        </w:rPr>
        <w:t xml:space="preserve"> Static 02 caused 21% confusion when category wasn’t anchored.</w:t>
      </w:r>
    </w:p>
    <w:p>
      <w:pPr>
        <w:pStyle w:val="ListParagraph"/>
        <w:numPr>
          <w:ilvl w:val="0"/>
          <w:numId w:val="5"/>
        </w:numPr>
        <w:spacing w:after="80" w:line="282"/>
      </w:pPr>
      <w:r>
        <w:rPr>
          <w:rFonts w:ascii="Calibri" w:cs="Calibri" w:eastAsia="Calibri" w:hAnsi="Calibri"/>
          <w:b/>
          <w:bCs/>
          <w:i w:val="false"/>
          <w:iCs w:val="false"/>
          <w:color w:val="222222"/>
          <w:sz w:val="22"/>
          <w:szCs w:val="22"/>
        </w:rPr>
        <w:t xml:space="preserve">Don’t promise “cheaper.”</w:t>
      </w:r>
      <w:r>
        <w:rPr>
          <w:rFonts w:ascii="Calibri" w:cs="Calibri" w:eastAsia="Calibri" w:hAnsi="Calibri"/>
          <w:b w:val="false"/>
          <w:bCs w:val="false"/>
          <w:i w:val="false"/>
          <w:iCs w:val="false"/>
          <w:color w:val="222222"/>
          <w:sz w:val="22"/>
          <w:szCs w:val="22"/>
        </w:rPr>
        <w:t xml:space="preserve"> Commoditises Wiom into broadband and fuels a price war we can’t win.</w:t>
      </w:r>
    </w:p>
    <w:p>
      <w:pPr>
        <w:pStyle w:val="ListParagraph"/>
        <w:numPr>
          <w:ilvl w:val="0"/>
          <w:numId w:val="5"/>
        </w:numPr>
        <w:spacing w:after="80" w:line="282"/>
      </w:pPr>
      <w:r>
        <w:rPr>
          <w:rFonts w:ascii="Calibri" w:cs="Calibri" w:eastAsia="Calibri" w:hAnsi="Calibri"/>
          <w:b/>
          <w:bCs/>
          <w:i w:val="false"/>
          <w:iCs w:val="false"/>
          <w:color w:val="222222"/>
          <w:sz w:val="22"/>
          <w:szCs w:val="22"/>
        </w:rPr>
        <w:t xml:space="preserve">Don’t cram category and flexibility into one beat.</w:t>
      </w:r>
      <w:r>
        <w:rPr>
          <w:rFonts w:ascii="Calibri" w:cs="Calibri" w:eastAsia="Calibri" w:hAnsi="Calibri"/>
          <w:b w:val="false"/>
          <w:bCs w:val="false"/>
          <w:i w:val="false"/>
          <w:iCs w:val="false"/>
          <w:color w:val="222222"/>
          <w:sz w:val="22"/>
          <w:szCs w:val="22"/>
        </w:rPr>
        <w:t xml:space="preserve"> One job per creative — land category, then flexibility.</w:t>
      </w:r>
    </w:p>
    <w:p>
      <w:pPr>
        <w:spacing w:after="80" w:before="160"/>
      </w:pPr>
      <w:r>
        <w:rPr>
          <w:rFonts w:ascii="Calibri" w:cs="Calibri" w:eastAsia="Calibri" w:hAnsi="Calibri"/>
          <w:b/>
          <w:bCs/>
          <w:color w:val="D9008D"/>
          <w:sz w:val="22"/>
          <w:szCs w:val="22"/>
        </w:rPr>
        <w:t xml:space="preserve">F. Proof structures that work</w:t>
      </w:r>
    </w:p>
    <w:p>
      <w:pPr>
        <w:pStyle w:val="ListParagraph"/>
        <w:numPr>
          <w:ilvl w:val="0"/>
          <w:numId w:val="6"/>
        </w:numPr>
        <w:spacing w:after="80" w:line="282"/>
      </w:pPr>
      <w:r>
        <w:rPr>
          <w:rFonts w:ascii="Calibri" w:cs="Calibri" w:eastAsia="Calibri" w:hAnsi="Calibri"/>
          <w:b/>
          <w:bCs/>
          <w:i w:val="false"/>
          <w:iCs w:val="false"/>
          <w:color w:val="222222"/>
          <w:sz w:val="22"/>
          <w:szCs w:val="22"/>
        </w:rPr>
        <w:t xml:space="preserve">Plain category statement first.</w:t>
      </w:r>
      <w:r>
        <w:rPr>
          <w:rFonts w:ascii="Calibri" w:cs="Calibri" w:eastAsia="Calibri" w:hAnsi="Calibri"/>
          <w:b w:val="false"/>
          <w:bCs w:val="false"/>
          <w:i w:val="false"/>
          <w:iCs w:val="false"/>
          <w:color w:val="222222"/>
          <w:sz w:val="22"/>
          <w:szCs w:val="22"/>
        </w:rPr>
        <w:t xml:space="preserve"> Static 01’s structure (“Poore ghar ke net ka recharge”) hit 60% “Net” identification with zero confusion.</w:t>
      </w:r>
    </w:p>
    <w:p>
      <w:pPr>
        <w:pStyle w:val="ListParagraph"/>
        <w:numPr>
          <w:ilvl w:val="0"/>
          <w:numId w:val="6"/>
        </w:numPr>
        <w:spacing w:after="80" w:line="282"/>
      </w:pPr>
      <w:r>
        <w:rPr>
          <w:rFonts w:ascii="Calibri" w:cs="Calibri" w:eastAsia="Calibri" w:hAnsi="Calibri"/>
          <w:b/>
          <w:bCs/>
          <w:i w:val="false"/>
          <w:iCs w:val="false"/>
          <w:color w:val="222222"/>
          <w:sz w:val="22"/>
          <w:szCs w:val="22"/>
        </w:rPr>
        <w:t xml:space="preserve">Show the granularity directly</w:t>
      </w:r>
      <w:r>
        <w:rPr>
          <w:rFonts w:ascii="Calibri" w:cs="Calibri" w:eastAsia="Calibri" w:hAnsi="Calibri"/>
          <w:b w:val="false"/>
          <w:bCs w:val="false"/>
          <w:i w:val="false"/>
          <w:iCs w:val="false"/>
          <w:color w:val="222222"/>
          <w:sz w:val="22"/>
          <w:szCs w:val="22"/>
        </w:rPr>
        <w:t xml:space="preserve"> — 1 din, 7 din, 14 din, 30 din. The granularity </w:t>
      </w:r>
      <w:r>
        <w:rPr>
          <w:rFonts w:ascii="Calibri" w:cs="Calibri" w:eastAsia="Calibri" w:hAnsi="Calibri"/>
          <w:b w:val="false"/>
          <w:bCs w:val="false"/>
          <w:i/>
          <w:iCs/>
          <w:color w:val="222222"/>
          <w:sz w:val="22"/>
          <w:szCs w:val="22"/>
        </w:rPr>
        <w:t xml:space="preserve">is</w:t>
      </w:r>
      <w:r>
        <w:rPr>
          <w:rFonts w:ascii="Calibri" w:cs="Calibri" w:eastAsia="Calibri" w:hAnsi="Calibri"/>
          <w:b w:val="false"/>
          <w:bCs w:val="false"/>
          <w:i w:val="false"/>
          <w:iCs w:val="false"/>
          <w:color w:val="222222"/>
          <w:sz w:val="22"/>
          <w:szCs w:val="22"/>
        </w:rPr>
        <w:t xml:space="preserve"> the proof of flexibility.</w:t>
      </w:r>
    </w:p>
    <w:p>
      <w:pPr>
        <w:pStyle w:val="ListParagraph"/>
        <w:numPr>
          <w:ilvl w:val="0"/>
          <w:numId w:val="6"/>
        </w:numPr>
        <w:spacing w:after="80" w:line="282"/>
      </w:pPr>
      <w:r>
        <w:rPr>
          <w:rFonts w:ascii="Calibri" w:cs="Calibri" w:eastAsia="Calibri" w:hAnsi="Calibri"/>
          <w:b/>
          <w:bCs/>
          <w:i w:val="false"/>
          <w:iCs w:val="false"/>
          <w:color w:val="222222"/>
          <w:sz w:val="22"/>
          <w:szCs w:val="22"/>
        </w:rPr>
        <w:t xml:space="preserve">Whole-home / family scene</w:t>
      </w:r>
      <w:r>
        <w:rPr>
          <w:rFonts w:ascii="Calibri" w:cs="Calibri" w:eastAsia="Calibri" w:hAnsi="Calibri"/>
          <w:b w:val="false"/>
          <w:bCs w:val="false"/>
          <w:i w:val="false"/>
          <w:iCs w:val="false"/>
          <w:color w:val="222222"/>
          <w:sz w:val="22"/>
          <w:szCs w:val="22"/>
        </w:rPr>
        <w:t xml:space="preserve"> over device or router shots. Keep the frame on the household, not the hardware.</w:t>
      </w:r>
    </w:p>
    <w:p>
      <w:pPr>
        <w:pStyle w:val="ListParagraph"/>
        <w:numPr>
          <w:ilvl w:val="0"/>
          <w:numId w:val="6"/>
        </w:numPr>
        <w:spacing w:after="80" w:line="282"/>
      </w:pPr>
      <w:r>
        <w:rPr>
          <w:rFonts w:ascii="Calibri" w:cs="Calibri" w:eastAsia="Calibri" w:hAnsi="Calibri"/>
          <w:b/>
          <w:bCs/>
          <w:i w:val="false"/>
          <w:iCs w:val="false"/>
          <w:color w:val="222222"/>
          <w:sz w:val="22"/>
          <w:szCs w:val="22"/>
        </w:rPr>
        <w:t xml:space="preserve">Resist additions.</w:t>
      </w:r>
      <w:r>
        <w:rPr>
          <w:rFonts w:ascii="Calibri" w:cs="Calibri" w:eastAsia="Calibri" w:hAnsi="Calibri"/>
          <w:b w:val="false"/>
          <w:bCs w:val="false"/>
          <w:i w:val="false"/>
          <w:iCs w:val="false"/>
          <w:color w:val="222222"/>
          <w:sz w:val="22"/>
          <w:szCs w:val="22"/>
        </w:rPr>
        <w:t xml:space="preserve"> Every feature, occasion, or comparison you add costs you category clarity.</w:t>
      </w:r>
    </w:p>
    <w:p>
      <w:pPr>
        <w:spacing w:after="80" w:before="160"/>
      </w:pPr>
      <w:r>
        <w:rPr>
          <w:rFonts w:ascii="Calibri" w:cs="Calibri" w:eastAsia="Calibri" w:hAnsi="Calibri"/>
          <w:b/>
          <w:bCs/>
          <w:color w:val="D9008D"/>
          <w:sz w:val="22"/>
          <w:szCs w:val="22"/>
        </w:rPr>
        <w:t xml:space="preserve">G. Success criteria</w:t>
      </w:r>
    </w:p>
    <w:tbl>
      <w:tblPr>
        <w:tblW w:type="dxa" w:w="9360"/>
        <w:tblBorders>
          <w:top w:val="single" w:color="E6F4EE" w:sz="2"/>
          <w:left w:val="single" w:color="1B7F5C" w:sz="28"/>
          <w:bottom w:val="single" w:color="E6F4EE" w:sz="2"/>
          <w:right w:val="single" w:color="E6F4EE" w:sz="2"/>
          <w:insideH w:val="single" w:color="auto" w:sz="4"/>
          <w:insideV w:val="single" w:color="auto" w:sz="4"/>
        </w:tblBorders>
      </w:tblPr>
      <w:tblGrid>
        <w:gridCol w:w="9360"/>
      </w:tblGrid>
      <w:tr>
        <w:tc>
          <w:tcPr>
            <w:tcW w:type="dxa" w:w="9360"/>
            <w:shd w:fill="E6F4EE" w:val="clear"/>
            <w:tcMar>
              <w:top w:type="dxa" w:w="120"/>
              <w:left w:type="dxa" w:w="200"/>
              <w:bottom w:type="dxa" w:w="120"/>
              <w:right w:type="dxa" w:w="160"/>
            </w:tcMar>
          </w:tcPr>
          <w:p>
            <w:pPr>
              <w:spacing w:after="60"/>
            </w:pPr>
            <w:r>
              <w:rPr>
                <w:rFonts w:ascii="Calibri" w:cs="Calibri" w:eastAsia="Calibri" w:hAnsi="Calibri"/>
                <w:b/>
                <w:bCs/>
                <w:color w:val="1B7F5C"/>
                <w:sz w:val="18"/>
                <w:szCs w:val="18"/>
              </w:rPr>
              <w:t xml:space="preserve">COMPREHENSION (pre-launch)</w:t>
            </w:r>
          </w:p>
          <w:p>
            <w:pPr>
              <w:spacing w:after="70" w:line="282"/>
            </w:pPr>
            <w:r>
              <w:rPr>
                <w:rFonts w:ascii="Calibri" w:cs="Calibri" w:eastAsia="Calibri" w:hAnsi="Calibri"/>
                <w:b w:val="false"/>
                <w:bCs w:val="false"/>
                <w:i w:val="false"/>
                <w:iCs w:val="false"/>
                <w:color w:val="222222"/>
                <w:sz w:val="20"/>
                <w:szCs w:val="20"/>
              </w:rPr>
              <w:t xml:space="preserve">User describes Wiom unaided as </w:t>
            </w:r>
            <w:r>
              <w:rPr>
                <w:rFonts w:ascii="Calibri" w:cs="Calibri" w:eastAsia="Calibri" w:hAnsi="Calibri"/>
                <w:b/>
                <w:bCs/>
                <w:i/>
                <w:iCs/>
                <w:color w:val="222222"/>
                <w:sz w:val="20"/>
                <w:szCs w:val="20"/>
              </w:rPr>
              <w:t xml:space="preserve">“ghar ka net jisme recharge karte hain”</w:t>
            </w:r>
            <w:r>
              <w:rPr>
                <w:rFonts w:ascii="Calibri" w:cs="Calibri" w:eastAsia="Calibri" w:hAnsi="Calibri"/>
                <w:b w:val="false"/>
                <w:bCs w:val="false"/>
                <w:i w:val="false"/>
                <w:iCs w:val="false"/>
                <w:color w:val="222222"/>
                <w:sz w:val="20"/>
                <w:szCs w:val="20"/>
              </w:rPr>
              <w:t xml:space="preserve"> — category lands.</w:t>
            </w:r>
          </w:p>
          <w:p>
            <w:pPr>
              <w:spacing w:after="70" w:line="282"/>
            </w:pPr>
            <w:r>
              <w:rPr>
                <w:rFonts w:ascii="Calibri" w:cs="Calibri" w:eastAsia="Calibri" w:hAnsi="Calibri"/>
                <w:b w:val="false"/>
                <w:bCs w:val="false"/>
                <w:i w:val="false"/>
                <w:iCs w:val="false"/>
                <w:color w:val="222222"/>
                <w:sz w:val="20"/>
                <w:szCs w:val="20"/>
              </w:rPr>
              <w:t xml:space="preserve">User recalls </w:t>
            </w:r>
            <w:r>
              <w:rPr>
                <w:rFonts w:ascii="Calibri" w:cs="Calibri" w:eastAsia="Calibri" w:hAnsi="Calibri"/>
                <w:b/>
                <w:bCs/>
                <w:i/>
                <w:iCs/>
                <w:color w:val="222222"/>
                <w:sz w:val="20"/>
                <w:szCs w:val="20"/>
              </w:rPr>
              <w:t xml:space="preserve">“jitne din chahiye, utne din”</w:t>
            </w:r>
            <w:r>
              <w:rPr>
                <w:rFonts w:ascii="Calibri" w:cs="Calibri" w:eastAsia="Calibri" w:hAnsi="Calibri"/>
                <w:b w:val="false"/>
                <w:bCs w:val="false"/>
                <w:i w:val="false"/>
                <w:iCs w:val="false"/>
                <w:color w:val="222222"/>
                <w:sz w:val="20"/>
                <w:szCs w:val="20"/>
              </w:rPr>
              <w:t xml:space="preserve"> — differentiator lands.</w:t>
            </w:r>
          </w:p>
          <w:p>
            <w:pPr>
              <w:spacing w:after="0" w:line="282"/>
            </w:pPr>
            <w:r>
              <w:rPr>
                <w:rFonts w:ascii="Calibri" w:cs="Calibri" w:eastAsia="Calibri" w:hAnsi="Calibri"/>
                <w:b/>
                <w:bCs/>
                <w:i w:val="false"/>
                <w:iCs w:val="false"/>
                <w:color w:val="222222"/>
                <w:sz w:val="20"/>
                <w:szCs w:val="20"/>
              </w:rPr>
              <w:t xml:space="preserve">Zero confusion is the bar (Static 01 standard).</w:t>
            </w:r>
          </w:p>
        </w:tc>
      </w:tr>
    </w:tbl>
    <w:p>
      <w:pPr>
        <w:spacing w:after="40"/>
      </w:pPr>
    </w:p>
    <w:tbl>
      <w:tblPr>
        <w:tblW w:type="dxa" w:w="9360"/>
        <w:tblBorders>
          <w:top w:val="single" w:color="FBEAEA" w:sz="2"/>
          <w:left w:val="single" w:color="C62828" w:sz="28"/>
          <w:bottom w:val="single" w:color="FBEAEA" w:sz="2"/>
          <w:right w:val="single" w:color="FBEAEA" w:sz="2"/>
          <w:insideH w:val="single" w:color="auto" w:sz="4"/>
          <w:insideV w:val="single" w:color="auto" w:sz="4"/>
        </w:tblBorders>
      </w:tblPr>
      <w:tblGrid>
        <w:gridCol w:w="9360"/>
      </w:tblGrid>
      <w:tr>
        <w:tc>
          <w:tcPr>
            <w:tcW w:type="dxa" w:w="9360"/>
            <w:shd w:fill="FBEAEA" w:val="clear"/>
            <w:tcMar>
              <w:top w:type="dxa" w:w="120"/>
              <w:left w:type="dxa" w:w="200"/>
              <w:bottom w:type="dxa" w:w="120"/>
              <w:right w:type="dxa" w:w="160"/>
            </w:tcMar>
          </w:tcPr>
          <w:p>
            <w:pPr>
              <w:spacing w:after="60"/>
            </w:pPr>
            <w:r>
              <w:rPr>
                <w:rFonts w:ascii="Calibri" w:cs="Calibri" w:eastAsia="Calibri" w:hAnsi="Calibri"/>
                <w:b/>
                <w:bCs/>
                <w:color w:val="C62828"/>
                <w:sz w:val="18"/>
                <w:szCs w:val="18"/>
              </w:rPr>
              <w:t xml:space="preserve">COHORT (post-launch)</w:t>
            </w:r>
          </w:p>
          <w:p>
            <w:pPr>
              <w:spacing w:after="0" w:line="282"/>
            </w:pPr>
            <w:r>
              <w:rPr>
                <w:rFonts w:ascii="Calibri" w:cs="Calibri" w:eastAsia="Calibri" w:hAnsi="Calibri"/>
                <w:b w:val="false"/>
                <w:bCs w:val="false"/>
                <w:i w:val="false"/>
                <w:iCs w:val="false"/>
                <w:color w:val="222222"/>
                <w:sz w:val="20"/>
                <w:szCs w:val="20"/>
              </w:rPr>
              <w:t xml:space="preserve">L1 cohort coverage-continuity holds against baseline. </w:t>
            </w:r>
            <w:r>
              <w:rPr>
                <w:rFonts w:ascii="Calibri" w:cs="Calibri" w:eastAsia="Calibri" w:hAnsi="Calibri"/>
                <w:b/>
                <w:bCs/>
                <w:i w:val="false"/>
                <w:iCs w:val="false"/>
                <w:color w:val="222222"/>
                <w:sz w:val="20"/>
                <w:szCs w:val="20"/>
              </w:rPr>
              <w:t xml:space="preserve">Burst-then-churn pattern is the kill signal</w:t>
            </w:r>
            <w:r>
              <w:rPr>
                <w:rFonts w:ascii="Calibri" w:cs="Calibri" w:eastAsia="Calibri" w:hAnsi="Calibri"/>
                <w:b w:val="false"/>
                <w:bCs w:val="false"/>
                <w:i w:val="false"/>
                <w:iCs w:val="false"/>
                <w:color w:val="222222"/>
                <w:sz w:val="20"/>
                <w:szCs w:val="20"/>
              </w:rPr>
              <w:t xml:space="preserve"> — L1 is the layer most prone to it because cheap-WiFi shoppers convert easily and leave.</w:t>
            </w:r>
          </w:p>
        </w:tc>
      </w:tr>
    </w:tbl>
    <w:p>
      <w:r>
        <w:br w:type="page"/>
      </w:r>
    </w:p>
    <w:p>
      <w:pPr>
        <w:pStyle w:val="Heading1"/>
        <w:spacing w:after="140" w:before="280"/>
      </w:pPr>
      <w:r>
        <w:rPr>
          <w:rFonts w:ascii="Calibri" w:cs="Calibri" w:eastAsia="Calibri" w:hAnsi="Calibri"/>
          <w:b/>
          <w:bCs/>
          <w:color w:val="443152"/>
          <w:sz w:val="30"/>
          <w:szCs w:val="30"/>
        </w:rPr>
        <w:t xml:space="preserve">5.  L2 — Blocked buyer</w:t>
      </w:r>
    </w:p>
    <w:p>
      <w:pPr>
        <w:spacing w:after="140" w:before="0" w:line="288"/>
      </w:pPr>
      <w:r>
        <w:rPr>
          <w:rFonts w:ascii="Calibri" w:cs="Calibri" w:eastAsia="Calibri" w:hAnsi="Calibri"/>
          <w:b w:val="false"/>
          <w:bCs w:val="false"/>
          <w:i/>
          <w:iCs/>
          <w:color w:val="5A6B80"/>
          <w:sz w:val="22"/>
          <w:szCs w:val="22"/>
        </w:rPr>
        <w:t xml:space="preserve">“I want home internet but its current shape doesn’t fit my life.” They’d buy if the commitment shape were different. Natively fit — we are their answer, not a comparison.</w:t>
      </w:r>
    </w:p>
    <w:p>
      <w:pPr>
        <w:spacing w:after="80" w:before="160"/>
      </w:pPr>
      <w:r>
        <w:rPr>
          <w:rFonts w:ascii="Calibri" w:cs="Calibri" w:eastAsia="Calibri" w:hAnsi="Calibri"/>
          <w:b/>
          <w:bCs/>
          <w:color w:val="D9008D"/>
          <w:sz w:val="22"/>
          <w:szCs w:val="22"/>
        </w:rPr>
        <w:t xml:space="preserve">A. Objective</w:t>
      </w:r>
    </w:p>
    <w:tbl>
      <w:tblPr>
        <w:tblW w:type="dxa" w:w="9360"/>
        <w:tblBorders>
          <w:top w:val="single" w:color="FFE5F6" w:sz="2"/>
          <w:left w:val="single" w:color="D9008D" w:sz="28"/>
          <w:bottom w:val="single" w:color="FFE5F6" w:sz="2"/>
          <w:right w:val="single" w:color="FFE5F6" w:sz="2"/>
          <w:insideH w:val="single" w:color="auto" w:sz="4"/>
          <w:insideV w:val="single" w:color="auto" w:sz="4"/>
        </w:tblBorders>
      </w:tblPr>
      <w:tblGrid>
        <w:gridCol w:w="9360"/>
      </w:tblGrid>
      <w:tr>
        <w:tc>
          <w:tcPr>
            <w:tcW w:type="dxa" w:w="9360"/>
            <w:shd w:fill="FFE5F6" w:val="clear"/>
            <w:tcMar>
              <w:top w:type="dxa" w:w="120"/>
              <w:left w:type="dxa" w:w="200"/>
              <w:bottom w:type="dxa" w:w="120"/>
              <w:right w:type="dxa" w:w="160"/>
            </w:tcMar>
          </w:tcPr>
          <w:p>
            <w:pPr>
              <w:spacing w:after="60"/>
            </w:pPr>
            <w:r>
              <w:rPr>
                <w:rFonts w:ascii="Calibri" w:cs="Calibri" w:eastAsia="Calibri" w:hAnsi="Calibri"/>
                <w:b/>
                <w:bCs/>
                <w:color w:val="D9008D"/>
                <w:sz w:val="18"/>
                <w:szCs w:val="18"/>
              </w:rPr>
              <w:t xml:space="preserve">LAYER OBJECTIVE</w:t>
            </w:r>
          </w:p>
          <w:p>
            <w:pPr>
              <w:spacing w:after="0" w:line="282"/>
            </w:pPr>
            <w:r>
              <w:rPr>
                <w:rFonts w:ascii="Calibri" w:cs="Calibri" w:eastAsia="Calibri" w:hAnsi="Calibri"/>
                <w:b/>
                <w:bCs/>
                <w:color w:val="443152"/>
                <w:sz w:val="20"/>
                <w:szCs w:val="20"/>
              </w:rPr>
              <w:t xml:space="preserve">Land Wiom as the solution to “I want home internet but the monthly-commitment shape doesn’t work for me.” The belief shift is structural — home internet doesn’t require monthly commitment, it can be recharge-shaped, and Wiom IS that.</w:t>
            </w:r>
          </w:p>
        </w:tc>
      </w:tr>
    </w:tbl>
    <w:p>
      <w:pPr>
        <w:spacing w:after="80" w:before="160"/>
      </w:pPr>
      <w:r>
        <w:rPr>
          <w:rFonts w:ascii="Calibri" w:cs="Calibri" w:eastAsia="Calibri" w:hAnsi="Calibri"/>
          <w:b/>
          <w:bCs/>
          <w:color w:val="D9008D"/>
          <w:sz w:val="22"/>
          <w:szCs w:val="22"/>
        </w:rPr>
        <w:t xml:space="preserve">B. Starting point — what the user brings</w:t>
      </w:r>
    </w:p>
    <w:tbl>
      <w:tblPr>
        <w:tblW w:type="dxa" w:w="9360"/>
        <w:tblBorders>
          <w:top w:val="single" w:color="D0D7DE" w:sz="2"/>
          <w:left w:val="single" w:color="D0D7DE" w:sz="2"/>
          <w:bottom w:val="single" w:color="D0D7DE" w:sz="2"/>
          <w:right w:val="single" w:color="D0D7DE" w:sz="2"/>
          <w:insideH w:val="single" w:color="D0D7DE" w:sz="2"/>
          <w:insideV w:val="single" w:color="D0D7DE" w:sz="2"/>
        </w:tblBorders>
      </w:tblPr>
      <w:tblGrid>
        <w:gridCol w:w="2100"/>
        <w:gridCol w:w="7260"/>
      </w:tblGrid>
      <w:tr>
        <w:trPr>
          <w:tblHeader/>
        </w:trPr>
        <w:tc>
          <w:tcPr>
            <w:tcW w:type="dxa" w:w="2100"/>
            <w:shd w:fill="443152"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
            </w:r>
          </w:p>
        </w:tc>
        <w:tc>
          <w:tcPr>
            <w:tcW w:type="dxa" w:w="7260"/>
            <w:shd w:fill="443152"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
            </w:r>
          </w:p>
        </w:tc>
      </w:tr>
      <w:tr>
        <w:tc>
          <w:tcPr>
            <w:tcW w:type="dxa" w:w="2100"/>
            <w:shd w:fill="FFFFFF" w:val="clear"/>
            <w:tcMar>
              <w:top w:type="dxa" w:w="80"/>
              <w:left w:type="dxa" w:w="130"/>
              <w:bottom w:type="dxa" w:w="80"/>
              <w:right w:type="dxa" w:w="130"/>
            </w:tcMar>
            <w:vAlign w:val="top"/>
          </w:tcPr>
          <w:p>
            <w:pPr>
              <w:spacing w:line="264"/>
            </w:pPr>
            <w:r>
              <w:rPr>
                <w:rFonts w:ascii="Calibri" w:cs="Calibri" w:eastAsia="Calibri" w:hAnsi="Calibri"/>
                <w:b/>
                <w:bCs/>
                <w:color w:val="1B7F5C"/>
                <w:sz w:val="18"/>
                <w:szCs w:val="18"/>
              </w:rPr>
              <w:t xml:space="preserve">Gifts (leverage)</w:t>
            </w:r>
          </w:p>
        </w:tc>
        <w:tc>
          <w:tcPr>
            <w:tcW w:type="dxa" w:w="7260"/>
            <w:shd w:fill="FFFFFF" w:val="clear"/>
            <w:tcMar>
              <w:top w:type="dxa" w:w="80"/>
              <w:left w:type="dxa" w:w="130"/>
              <w:bottom w:type="dxa" w:w="80"/>
              <w:right w:type="dxa" w:w="130"/>
            </w:tcMar>
            <w:vAlign w:val="top"/>
          </w:tcPr>
          <w:p>
            <w:pPr>
              <w:spacing w:line="264"/>
            </w:pPr>
            <w:r>
              <w:rPr>
                <w:rFonts w:ascii="Calibri" w:cs="Calibri" w:eastAsia="Calibri" w:hAnsi="Calibri"/>
                <w:b w:val="false"/>
                <w:bCs w:val="false"/>
                <w:i w:val="false"/>
                <w:iCs w:val="false"/>
                <w:color w:val="222222"/>
                <w:sz w:val="19"/>
                <w:szCs w:val="19"/>
              </w:rPr>
              <w:t xml:space="preserve">Knows home internet; actively wants it; understands recharge as a payment concept; has already rejected broadband as not fitting.</w:t>
            </w:r>
          </w:p>
        </w:tc>
      </w:tr>
      <w:tr>
        <w:tc>
          <w:tcPr>
            <w:tcW w:type="dxa" w:w="2100"/>
            <w:shd w:fill="FAFBFD" w:val="clear"/>
            <w:tcMar>
              <w:top w:type="dxa" w:w="80"/>
              <w:left w:type="dxa" w:w="130"/>
              <w:bottom w:type="dxa" w:w="80"/>
              <w:right w:type="dxa" w:w="130"/>
            </w:tcMar>
            <w:vAlign w:val="top"/>
          </w:tcPr>
          <w:p>
            <w:pPr>
              <w:spacing w:line="264"/>
            </w:pPr>
            <w:r>
              <w:rPr>
                <w:rFonts w:ascii="Calibri" w:cs="Calibri" w:eastAsia="Calibri" w:hAnsi="Calibri"/>
                <w:b/>
                <w:bCs/>
                <w:color w:val="C62828"/>
                <w:sz w:val="18"/>
                <w:szCs w:val="18"/>
              </w:rPr>
              <w:t xml:space="preserve">Traps (disrupt)</w:t>
            </w:r>
          </w:p>
        </w:tc>
        <w:tc>
          <w:tcPr>
            <w:tcW w:type="dxa" w:w="7260"/>
            <w:shd w:fill="FAFBFD" w:val="clear"/>
            <w:tcMar>
              <w:top w:type="dxa" w:w="80"/>
              <w:left w:type="dxa" w:w="130"/>
              <w:bottom w:type="dxa" w:w="80"/>
              <w:right w:type="dxa" w:w="130"/>
            </w:tcMar>
            <w:vAlign w:val="top"/>
          </w:tcPr>
          <w:p>
            <w:pPr>
              <w:spacing w:line="264"/>
            </w:pPr>
            <w:r>
              <w:rPr>
                <w:rFonts w:ascii="Calibri" w:cs="Calibri" w:eastAsia="Calibri" w:hAnsi="Calibri"/>
                <w:b w:val="false"/>
                <w:bCs w:val="false"/>
                <w:i w:val="false"/>
                <w:iCs w:val="false"/>
                <w:color w:val="222222"/>
                <w:sz w:val="19"/>
                <w:szCs w:val="19"/>
              </w:rPr>
              <w:t xml:space="preserve">Assumes “home internet = monthly commitment” is universal. May have tried broadband and bounced. Sceptical anyone offers what they need.</w:t>
            </w:r>
          </w:p>
        </w:tc>
      </w:tr>
      <w:tr>
        <w:tc>
          <w:tcPr>
            <w:tcW w:type="dxa" w:w="2100"/>
            <w:shd w:fill="FFFFFF" w:val="clear"/>
            <w:tcMar>
              <w:top w:type="dxa" w:w="80"/>
              <w:left w:type="dxa" w:w="130"/>
              <w:bottom w:type="dxa" w:w="80"/>
              <w:right w:type="dxa" w:w="130"/>
            </w:tcMar>
            <w:vAlign w:val="top"/>
          </w:tcPr>
          <w:p>
            <w:pPr>
              <w:spacing w:line="264"/>
            </w:pPr>
            <w:r>
              <w:rPr>
                <w:rFonts w:ascii="Calibri" w:cs="Calibri" w:eastAsia="Calibri" w:hAnsi="Calibri"/>
                <w:b/>
                <w:bCs/>
                <w:color w:val="5A6B80"/>
                <w:sz w:val="18"/>
                <w:szCs w:val="18"/>
              </w:rPr>
              <w:t xml:space="preserve">Lingo they bring</w:t>
            </w:r>
          </w:p>
        </w:tc>
        <w:tc>
          <w:tcPr>
            <w:tcW w:type="dxa" w:w="7260"/>
            <w:shd w:fill="FFFFFF" w:val="clear"/>
            <w:tcMar>
              <w:top w:type="dxa" w:w="80"/>
              <w:left w:type="dxa" w:w="130"/>
              <w:bottom w:type="dxa" w:w="80"/>
              <w:right w:type="dxa" w:w="130"/>
            </w:tcMar>
            <w:vAlign w:val="top"/>
          </w:tcPr>
          <w:p>
            <w:pPr>
              <w:spacing w:line="264"/>
            </w:pPr>
            <w:r>
              <w:rPr>
                <w:rFonts w:ascii="Calibri" w:cs="Calibri" w:eastAsia="Calibri" w:hAnsi="Calibri"/>
                <w:b w:val="false"/>
                <w:bCs w:val="false"/>
                <w:i w:val="false"/>
                <w:iCs w:val="false"/>
                <w:color w:val="222222"/>
                <w:sz w:val="19"/>
                <w:szCs w:val="19"/>
              </w:rPr>
              <w:t xml:space="preserve">WiFi or broadband (with negative associations), monthly bills, “kab kab chalega,” variable income, “lock-in.”</w:t>
            </w:r>
          </w:p>
        </w:tc>
      </w:tr>
    </w:tbl>
    <w:p>
      <w:pPr>
        <w:spacing w:after="80"/>
      </w:pPr>
    </w:p>
    <w:p>
      <w:pPr>
        <w:spacing w:after="80" w:before="160"/>
      </w:pPr>
      <w:r>
        <w:rPr>
          <w:rFonts w:ascii="Calibri" w:cs="Calibri" w:eastAsia="Calibri" w:hAnsi="Calibri"/>
          <w:b/>
          <w:bCs/>
          <w:color w:val="D9008D"/>
          <w:sz w:val="22"/>
          <w:szCs w:val="22"/>
        </w:rPr>
        <w:t xml:space="preserve">C. The bridge to build</w:t>
      </w:r>
    </w:p>
    <w:p>
      <w:pPr>
        <w:spacing w:after="140" w:before="0" w:line="288"/>
      </w:pPr>
      <w:r>
        <w:rPr>
          <w:rFonts w:ascii="Calibri" w:cs="Calibri" w:eastAsia="Calibri" w:hAnsi="Calibri"/>
          <w:b w:val="false"/>
          <w:bCs w:val="false"/>
          <w:i w:val="false"/>
          <w:iCs w:val="false"/>
          <w:color w:val="222222"/>
          <w:sz w:val="22"/>
          <w:szCs w:val="22"/>
        </w:rPr>
        <w:t xml:space="preserve">Recharge + ghar ka net delivers exactly the structure they wanted but couldn’t get from broadband. The cognitive motion: “home internet is too rigid for my life” → “home internet can be recharge-shaped” → “Wiom IS that.”</w:t>
      </w:r>
    </w:p>
    <w:p>
      <w:pPr>
        <w:spacing w:after="80" w:before="160"/>
      </w:pPr>
      <w:r>
        <w:rPr>
          <w:rFonts w:ascii="Calibri" w:cs="Calibri" w:eastAsia="Calibri" w:hAnsi="Calibri"/>
          <w:b/>
          <w:bCs/>
          <w:color w:val="D9008D"/>
          <w:sz w:val="22"/>
          <w:szCs w:val="22"/>
        </w:rPr>
        <w:t xml:space="preserve">D. The differentiator to land</w:t>
      </w:r>
    </w:p>
    <w:p>
      <w:pPr>
        <w:spacing w:after="140" w:before="0" w:line="288"/>
      </w:pPr>
      <w:r>
        <w:rPr>
          <w:rFonts w:ascii="Calibri" w:cs="Calibri" w:eastAsia="Calibri" w:hAnsi="Calibri"/>
          <w:b/>
          <w:bCs/>
          <w:i w:val="false"/>
          <w:iCs w:val="false"/>
          <w:color w:val="222222"/>
          <w:sz w:val="22"/>
          <w:szCs w:val="22"/>
        </w:rPr>
        <w:t xml:space="preserve">Commitment shape. </w:t>
      </w:r>
      <w:r>
        <w:rPr>
          <w:rFonts w:ascii="Calibri" w:cs="Calibri" w:eastAsia="Calibri" w:hAnsi="Calibri"/>
          <w:b w:val="false"/>
          <w:bCs w:val="false"/>
          <w:i w:val="false"/>
          <w:iCs w:val="false"/>
          <w:color w:val="222222"/>
          <w:sz w:val="22"/>
          <w:szCs w:val="22"/>
        </w:rPr>
        <w:t xml:space="preserve">Pay-as-you-go, no monthly lock-in. “Jitne din chahiye, utne din ka recharge.” The proof is the structure itself, shown directly.</w:t>
      </w:r>
    </w:p>
    <w:p>
      <w:pPr>
        <w:spacing w:after="80" w:before="160"/>
      </w:pPr>
      <w:r>
        <w:rPr>
          <w:rFonts w:ascii="Calibri" w:cs="Calibri" w:eastAsia="Calibri" w:hAnsi="Calibri"/>
          <w:b/>
          <w:bCs/>
          <w:color w:val="D9008D"/>
          <w:sz w:val="22"/>
          <w:szCs w:val="22"/>
        </w:rPr>
        <w:t xml:space="preserve">E. What L2 messaging must NOT do</w:t>
      </w:r>
    </w:p>
    <w:p>
      <w:pPr>
        <w:pStyle w:val="ListParagraph"/>
        <w:numPr>
          <w:ilvl w:val="0"/>
          <w:numId w:val="7"/>
        </w:numPr>
        <w:spacing w:after="80" w:line="282"/>
      </w:pPr>
      <w:r>
        <w:rPr>
          <w:rFonts w:ascii="Calibri" w:cs="Calibri" w:eastAsia="Calibri" w:hAnsi="Calibri"/>
          <w:b/>
          <w:bCs/>
          <w:i w:val="false"/>
          <w:iCs w:val="false"/>
          <w:color w:val="222222"/>
          <w:sz w:val="22"/>
          <w:szCs w:val="22"/>
        </w:rPr>
        <w:t xml:space="preserve">Don’t sound like “cheaper broadband.”</w:t>
      </w:r>
      <w:r>
        <w:rPr>
          <w:rFonts w:ascii="Calibri" w:cs="Calibri" w:eastAsia="Calibri" w:hAnsi="Calibri"/>
          <w:b w:val="false"/>
          <w:bCs w:val="false"/>
          <w:i w:val="false"/>
          <w:iCs w:val="false"/>
          <w:color w:val="222222"/>
          <w:sz w:val="22"/>
          <w:szCs w:val="22"/>
        </w:rPr>
        <w:t xml:space="preserve"> They sense the trap and bounce. Lead with the </w:t>
      </w:r>
      <w:r>
        <w:rPr>
          <w:rFonts w:ascii="Calibri" w:cs="Calibri" w:eastAsia="Calibri" w:hAnsi="Calibri"/>
          <w:b w:val="false"/>
          <w:bCs w:val="false"/>
          <w:i/>
          <w:iCs/>
          <w:color w:val="222222"/>
          <w:sz w:val="22"/>
          <w:szCs w:val="22"/>
        </w:rPr>
        <w:t xml:space="preserve">structural</w:t>
      </w:r>
      <w:r>
        <w:rPr>
          <w:rFonts w:ascii="Calibri" w:cs="Calibri" w:eastAsia="Calibri" w:hAnsi="Calibri"/>
          <w:b w:val="false"/>
          <w:bCs w:val="false"/>
          <w:i w:val="false"/>
          <w:iCs w:val="false"/>
          <w:color w:val="222222"/>
          <w:sz w:val="22"/>
          <w:szCs w:val="22"/>
        </w:rPr>
        <w:t xml:space="preserve"> difference, not the price difference.</w:t>
      </w:r>
    </w:p>
    <w:p>
      <w:pPr>
        <w:pStyle w:val="ListParagraph"/>
        <w:numPr>
          <w:ilvl w:val="0"/>
          <w:numId w:val="7"/>
        </w:numPr>
        <w:spacing w:after="80" w:line="282"/>
      </w:pPr>
      <w:r>
        <w:rPr>
          <w:rFonts w:ascii="Calibri" w:cs="Calibri" w:eastAsia="Calibri" w:hAnsi="Calibri"/>
          <w:b/>
          <w:bCs/>
          <w:i w:val="false"/>
          <w:iCs w:val="false"/>
          <w:color w:val="222222"/>
          <w:sz w:val="22"/>
          <w:szCs w:val="22"/>
        </w:rPr>
        <w:t xml:space="preserve">Don’t hide the recharge model.</w:t>
      </w:r>
      <w:r>
        <w:rPr>
          <w:rFonts w:ascii="Calibri" w:cs="Calibri" w:eastAsia="Calibri" w:hAnsi="Calibri"/>
          <w:b w:val="false"/>
          <w:bCs w:val="false"/>
          <w:i w:val="false"/>
          <w:iCs w:val="false"/>
          <w:color w:val="222222"/>
          <w:sz w:val="22"/>
          <w:szCs w:val="22"/>
        </w:rPr>
        <w:t xml:space="preserve"> The recharge-shape </w:t>
      </w:r>
      <w:r>
        <w:rPr>
          <w:rFonts w:ascii="Calibri" w:cs="Calibri" w:eastAsia="Calibri" w:hAnsi="Calibri"/>
          <w:b w:val="false"/>
          <w:bCs w:val="false"/>
          <w:i/>
          <w:iCs/>
          <w:color w:val="222222"/>
          <w:sz w:val="22"/>
          <w:szCs w:val="22"/>
        </w:rPr>
        <w:t xml:space="preserve">is</w:t>
      </w:r>
      <w:r>
        <w:rPr>
          <w:rFonts w:ascii="Calibri" w:cs="Calibri" w:eastAsia="Calibri" w:hAnsi="Calibri"/>
          <w:b w:val="false"/>
          <w:bCs w:val="false"/>
          <w:i w:val="false"/>
          <w:iCs w:val="false"/>
          <w:color w:val="222222"/>
          <w:sz w:val="22"/>
          <w:szCs w:val="22"/>
        </w:rPr>
        <w:t xml:space="preserve"> the value prop for this user. Hiding it loses the entire point.</w:t>
      </w:r>
    </w:p>
    <w:p>
      <w:pPr>
        <w:pStyle w:val="ListParagraph"/>
        <w:numPr>
          <w:ilvl w:val="0"/>
          <w:numId w:val="7"/>
        </w:numPr>
        <w:spacing w:after="80" w:line="282"/>
      </w:pPr>
      <w:r>
        <w:rPr>
          <w:rFonts w:ascii="Calibri" w:cs="Calibri" w:eastAsia="Calibri" w:hAnsi="Calibri"/>
          <w:b/>
          <w:bCs/>
          <w:i w:val="false"/>
          <w:iCs w:val="false"/>
          <w:color w:val="222222"/>
          <w:sz w:val="22"/>
          <w:szCs w:val="22"/>
        </w:rPr>
        <w:t xml:space="preserve">Don’t add occasion examples before the structure lands.</w:t>
      </w:r>
      <w:r>
        <w:rPr>
          <w:rFonts w:ascii="Calibri" w:cs="Calibri" w:eastAsia="Calibri" w:hAnsi="Calibri"/>
          <w:b w:val="false"/>
          <w:bCs w:val="false"/>
          <w:i w:val="false"/>
          <w:iCs w:val="false"/>
          <w:color w:val="222222"/>
          <w:sz w:val="22"/>
          <w:szCs w:val="22"/>
        </w:rPr>
        <w:t xml:space="preserve"> Same sprint lesson — examples add load until category is anchored.</w:t>
      </w:r>
    </w:p>
    <w:p>
      <w:pPr>
        <w:pStyle w:val="ListParagraph"/>
        <w:numPr>
          <w:ilvl w:val="0"/>
          <w:numId w:val="7"/>
        </w:numPr>
        <w:spacing w:after="80" w:line="282"/>
      </w:pPr>
      <w:r>
        <w:rPr>
          <w:rFonts w:ascii="Calibri" w:cs="Calibri" w:eastAsia="Calibri" w:hAnsi="Calibri"/>
          <w:b/>
          <w:bCs/>
          <w:i w:val="false"/>
          <w:iCs w:val="false"/>
          <w:color w:val="222222"/>
          <w:sz w:val="22"/>
          <w:szCs w:val="22"/>
        </w:rPr>
        <w:t xml:space="preserve">Don’t position as a downgrade</w:t>
      </w:r>
      <w:r>
        <w:rPr>
          <w:rFonts w:ascii="Calibri" w:cs="Calibri" w:eastAsia="Calibri" w:hAnsi="Calibri"/>
          <w:b w:val="false"/>
          <w:bCs w:val="false"/>
          <w:i w:val="false"/>
          <w:iCs w:val="false"/>
          <w:color w:val="222222"/>
          <w:sz w:val="22"/>
          <w:szCs w:val="22"/>
        </w:rPr>
        <w:t xml:space="preserve"> (“if you can’t afford broadband”). Position as a fit (“designed for households like yours”).</w:t>
      </w:r>
    </w:p>
    <w:p>
      <w:pPr>
        <w:pStyle w:val="ListParagraph"/>
        <w:numPr>
          <w:ilvl w:val="0"/>
          <w:numId w:val="7"/>
        </w:numPr>
        <w:spacing w:after="80" w:line="282"/>
      </w:pPr>
      <w:r>
        <w:rPr>
          <w:rFonts w:ascii="Calibri" w:cs="Calibri" w:eastAsia="Calibri" w:hAnsi="Calibri"/>
          <w:b/>
          <w:bCs/>
          <w:i w:val="false"/>
          <w:iCs w:val="false"/>
          <w:color w:val="222222"/>
          <w:sz w:val="22"/>
          <w:szCs w:val="22"/>
        </w:rPr>
        <w:t xml:space="preserve">Don’t bury the granularity.</w:t>
      </w:r>
      <w:r>
        <w:rPr>
          <w:rFonts w:ascii="Calibri" w:cs="Calibri" w:eastAsia="Calibri" w:hAnsi="Calibri"/>
          <w:b w:val="false"/>
          <w:bCs w:val="false"/>
          <w:i w:val="false"/>
          <w:iCs w:val="false"/>
          <w:color w:val="222222"/>
          <w:sz w:val="22"/>
          <w:szCs w:val="22"/>
        </w:rPr>
        <w:t xml:space="preserve"> The 1-day, 7-day, 30-day options are exactly what unblocks them — make them visible.</w:t>
      </w:r>
    </w:p>
    <w:p>
      <w:pPr>
        <w:pStyle w:val="ListParagraph"/>
        <w:numPr>
          <w:ilvl w:val="0"/>
          <w:numId w:val="7"/>
        </w:numPr>
        <w:spacing w:after="80" w:line="282"/>
      </w:pPr>
      <w:r>
        <w:rPr>
          <w:rFonts w:ascii="Calibri" w:cs="Calibri" w:eastAsia="Calibri" w:hAnsi="Calibri"/>
          <w:b/>
          <w:bCs/>
          <w:i w:val="false"/>
          <w:iCs w:val="false"/>
          <w:color w:val="222222"/>
          <w:sz w:val="22"/>
          <w:szCs w:val="22"/>
        </w:rPr>
        <w:t xml:space="preserve">Don’t let commitment-shape contrast land on the wrong destination.</w:t>
      </w:r>
      <w:r>
        <w:rPr>
          <w:rFonts w:ascii="Calibri" w:cs="Calibri" w:eastAsia="Calibri" w:hAnsi="Calibri"/>
          <w:b w:val="false"/>
          <w:bCs w:val="false"/>
          <w:i w:val="false"/>
          <w:iCs w:val="false"/>
          <w:color w:val="222222"/>
          <w:sz w:val="22"/>
          <w:szCs w:val="22"/>
        </w:rPr>
        <w:t xml:space="preserve"> Contrast is permitted (and encouraged) for L2 — this is Family A2 in the Contrast Doctrine. But the destination must be “recharge-shaped ghar ka net,” not “monthly broadband, just cheaper.” The destination test is Doctrine §5B. Forbidden patterns: “monthly broadband se sasta,” “lock-in tod do” (without strong affirmation). Full permitted/forbidden patterns: Doctrine §6B.</w:t>
      </w:r>
    </w:p>
    <w:p>
      <w:pPr>
        <w:spacing w:after="80" w:before="160"/>
      </w:pPr>
      <w:r>
        <w:rPr>
          <w:rFonts w:ascii="Calibri" w:cs="Calibri" w:eastAsia="Calibri" w:hAnsi="Calibri"/>
          <w:b/>
          <w:bCs/>
          <w:color w:val="D9008D"/>
          <w:sz w:val="22"/>
          <w:szCs w:val="22"/>
        </w:rPr>
        <w:t xml:space="preserve">F. Proof structures that work</w:t>
      </w:r>
    </w:p>
    <w:p>
      <w:pPr>
        <w:pStyle w:val="ListParagraph"/>
        <w:numPr>
          <w:ilvl w:val="0"/>
          <w:numId w:val="8"/>
        </w:numPr>
        <w:spacing w:after="80" w:line="282"/>
      </w:pPr>
      <w:r>
        <w:rPr>
          <w:rFonts w:ascii="Calibri" w:cs="Calibri" w:eastAsia="Calibri" w:hAnsi="Calibri"/>
          <w:b/>
          <w:bCs/>
          <w:i w:val="false"/>
          <w:iCs w:val="false"/>
          <w:color w:val="222222"/>
          <w:sz w:val="22"/>
          <w:szCs w:val="22"/>
        </w:rPr>
        <w:t xml:space="preserve">Lead with the commitment-shape contrast: </w:t>
      </w:r>
      <w:r>
        <w:rPr>
          <w:rFonts w:ascii="Calibri" w:cs="Calibri" w:eastAsia="Calibri" w:hAnsi="Calibri"/>
          <w:b w:val="false"/>
          <w:bCs w:val="false"/>
          <w:i w:val="false"/>
          <w:iCs w:val="false"/>
          <w:color w:val="222222"/>
          <w:sz w:val="22"/>
          <w:szCs w:val="22"/>
        </w:rPr>
        <w:t xml:space="preserve">“Monthly bill nahi, recharge.” Name what they don’t want, then show what they get.</w:t>
      </w:r>
    </w:p>
    <w:p>
      <w:pPr>
        <w:pStyle w:val="ListParagraph"/>
        <w:numPr>
          <w:ilvl w:val="0"/>
          <w:numId w:val="8"/>
        </w:numPr>
        <w:spacing w:after="80" w:line="282"/>
      </w:pPr>
      <w:r>
        <w:rPr>
          <w:rFonts w:ascii="Calibri" w:cs="Calibri" w:eastAsia="Calibri" w:hAnsi="Calibri"/>
          <w:b/>
          <w:bCs/>
          <w:i w:val="false"/>
          <w:iCs w:val="false"/>
          <w:color w:val="222222"/>
          <w:sz w:val="22"/>
          <w:szCs w:val="22"/>
        </w:rPr>
        <w:t xml:space="preserve">Show the granularity directly</w:t>
      </w:r>
      <w:r>
        <w:rPr>
          <w:rFonts w:ascii="Calibri" w:cs="Calibri" w:eastAsia="Calibri" w:hAnsi="Calibri"/>
          <w:b w:val="false"/>
          <w:bCs w:val="false"/>
          <w:i w:val="false"/>
          <w:iCs w:val="false"/>
          <w:color w:val="222222"/>
          <w:sz w:val="22"/>
          <w:szCs w:val="22"/>
        </w:rPr>
        <w:t xml:space="preserve"> — 1 din to 30 din visualised as choices, not as a price table.</w:t>
      </w:r>
    </w:p>
    <w:p>
      <w:pPr>
        <w:pStyle w:val="ListParagraph"/>
        <w:numPr>
          <w:ilvl w:val="0"/>
          <w:numId w:val="8"/>
        </w:numPr>
        <w:spacing w:after="80" w:line="282"/>
      </w:pPr>
      <w:r>
        <w:rPr>
          <w:rFonts w:ascii="Calibri" w:cs="Calibri" w:eastAsia="Calibri" w:hAnsi="Calibri"/>
          <w:b/>
          <w:bCs/>
          <w:i w:val="false"/>
          <w:iCs w:val="false"/>
          <w:color w:val="222222"/>
          <w:sz w:val="22"/>
          <w:szCs w:val="22"/>
        </w:rPr>
        <w:t xml:space="preserve">Use household / income context as control, not constraint.</w:t>
      </w:r>
      <w:r>
        <w:rPr>
          <w:rFonts w:ascii="Calibri" w:cs="Calibri" w:eastAsia="Calibri" w:hAnsi="Calibri"/>
          <w:b w:val="false"/>
          <w:bCs w:val="false"/>
          <w:i w:val="false"/>
          <w:iCs w:val="false"/>
          <w:color w:val="222222"/>
          <w:sz w:val="22"/>
          <w:szCs w:val="22"/>
        </w:rPr>
        <w:t xml:space="preserve"> Frame as agency, not poverty.</w:t>
      </w:r>
    </w:p>
    <w:p>
      <w:pPr>
        <w:pStyle w:val="ListParagraph"/>
        <w:numPr>
          <w:ilvl w:val="0"/>
          <w:numId w:val="8"/>
        </w:numPr>
        <w:spacing w:after="80" w:line="282"/>
      </w:pPr>
      <w:r>
        <w:rPr>
          <w:rFonts w:ascii="Calibri" w:cs="Calibri" w:eastAsia="Calibri" w:hAnsi="Calibri"/>
          <w:b/>
          <w:bCs/>
          <w:i w:val="false"/>
          <w:iCs w:val="false"/>
          <w:color w:val="222222"/>
          <w:sz w:val="22"/>
          <w:szCs w:val="22"/>
        </w:rPr>
        <w:t xml:space="preserve">Family / household setting</w:t>
      </w:r>
      <w:r>
        <w:rPr>
          <w:rFonts w:ascii="Calibri" w:cs="Calibri" w:eastAsia="Calibri" w:hAnsi="Calibri"/>
          <w:b w:val="false"/>
          <w:bCs w:val="false"/>
          <w:i w:val="false"/>
          <w:iCs w:val="false"/>
          <w:color w:val="222222"/>
          <w:sz w:val="22"/>
          <w:szCs w:val="22"/>
        </w:rPr>
        <w:t xml:space="preserve"> that signals “this is built for people whose lives look like yours.”</w:t>
      </w:r>
    </w:p>
    <w:p>
      <w:pPr>
        <w:spacing w:after="80" w:before="160"/>
      </w:pPr>
      <w:r>
        <w:rPr>
          <w:rFonts w:ascii="Calibri" w:cs="Calibri" w:eastAsia="Calibri" w:hAnsi="Calibri"/>
          <w:b/>
          <w:bCs/>
          <w:color w:val="D9008D"/>
          <w:sz w:val="22"/>
          <w:szCs w:val="22"/>
        </w:rPr>
        <w:t xml:space="preserve">G. Success criteria</w:t>
      </w:r>
    </w:p>
    <w:tbl>
      <w:tblPr>
        <w:tblW w:type="dxa" w:w="9360"/>
        <w:tblBorders>
          <w:top w:val="single" w:color="E6F4EE" w:sz="2"/>
          <w:left w:val="single" w:color="1B7F5C" w:sz="28"/>
          <w:bottom w:val="single" w:color="E6F4EE" w:sz="2"/>
          <w:right w:val="single" w:color="E6F4EE" w:sz="2"/>
          <w:insideH w:val="single" w:color="auto" w:sz="4"/>
          <w:insideV w:val="single" w:color="auto" w:sz="4"/>
        </w:tblBorders>
      </w:tblPr>
      <w:tblGrid>
        <w:gridCol w:w="9360"/>
      </w:tblGrid>
      <w:tr>
        <w:tc>
          <w:tcPr>
            <w:tcW w:type="dxa" w:w="9360"/>
            <w:shd w:fill="E6F4EE" w:val="clear"/>
            <w:tcMar>
              <w:top w:type="dxa" w:w="120"/>
              <w:left w:type="dxa" w:w="200"/>
              <w:bottom w:type="dxa" w:w="120"/>
              <w:right w:type="dxa" w:w="160"/>
            </w:tcMar>
          </w:tcPr>
          <w:p>
            <w:pPr>
              <w:spacing w:after="60"/>
            </w:pPr>
            <w:r>
              <w:rPr>
                <w:rFonts w:ascii="Calibri" w:cs="Calibri" w:eastAsia="Calibri" w:hAnsi="Calibri"/>
                <w:b/>
                <w:bCs/>
                <w:color w:val="1B7F5C"/>
                <w:sz w:val="18"/>
                <w:szCs w:val="18"/>
              </w:rPr>
              <w:t xml:space="preserve">COMPREHENSION (pre-launch)</w:t>
            </w:r>
          </w:p>
          <w:p>
            <w:pPr>
              <w:spacing w:after="70" w:line="282"/>
            </w:pPr>
            <w:r>
              <w:rPr>
                <w:rFonts w:ascii="Calibri" w:cs="Calibri" w:eastAsia="Calibri" w:hAnsi="Calibri"/>
                <w:b w:val="false"/>
                <w:bCs w:val="false"/>
                <w:i w:val="false"/>
                <w:iCs w:val="false"/>
                <w:color w:val="222222"/>
                <w:sz w:val="20"/>
                <w:szCs w:val="20"/>
              </w:rPr>
              <w:t xml:space="preserve">User describes Wiom as </w:t>
            </w:r>
            <w:r>
              <w:rPr>
                <w:rFonts w:ascii="Calibri" w:cs="Calibri" w:eastAsia="Calibri" w:hAnsi="Calibri"/>
                <w:b/>
                <w:bCs/>
                <w:i/>
                <w:iCs/>
                <w:color w:val="222222"/>
                <w:sz w:val="20"/>
                <w:szCs w:val="20"/>
              </w:rPr>
              <w:t xml:space="preserve">“ghar ka net jisme commit nahi karna hota.”</w:t>
            </w:r>
          </w:p>
          <w:p>
            <w:pPr>
              <w:spacing w:after="0" w:line="282"/>
            </w:pPr>
            <w:r>
              <w:rPr>
                <w:rFonts w:ascii="Calibri" w:cs="Calibri" w:eastAsia="Calibri" w:hAnsi="Calibri"/>
                <w:b w:val="false"/>
                <w:bCs w:val="false"/>
                <w:i w:val="false"/>
                <w:iCs w:val="false"/>
                <w:color w:val="222222"/>
                <w:sz w:val="20"/>
                <w:szCs w:val="20"/>
              </w:rPr>
              <w:t xml:space="preserve">User identifies the recharge-shape as </w:t>
            </w:r>
            <w:r>
              <w:rPr>
                <w:rFonts w:ascii="Calibri" w:cs="Calibri" w:eastAsia="Calibri" w:hAnsi="Calibri"/>
                <w:b/>
                <w:bCs/>
                <w:i w:val="false"/>
                <w:iCs w:val="false"/>
                <w:color w:val="222222"/>
                <w:sz w:val="20"/>
                <w:szCs w:val="20"/>
              </w:rPr>
              <w:t xml:space="preserve">the reason to switch</w:t>
            </w:r>
            <w:r>
              <w:rPr>
                <w:rFonts w:ascii="Calibri" w:cs="Calibri" w:eastAsia="Calibri" w:hAnsi="Calibri"/>
                <w:b w:val="false"/>
                <w:bCs w:val="false"/>
                <w:i w:val="false"/>
                <w:iCs w:val="false"/>
                <w:color w:val="222222"/>
                <w:sz w:val="20"/>
                <w:szCs w:val="20"/>
              </w:rPr>
              <w:t xml:space="preserve"> — not price.</w:t>
            </w:r>
          </w:p>
        </w:tc>
      </w:tr>
    </w:tbl>
    <w:p>
      <w:pPr>
        <w:spacing w:after="40"/>
      </w:pPr>
    </w:p>
    <w:tbl>
      <w:tblPr>
        <w:tblW w:type="dxa" w:w="9360"/>
        <w:tblBorders>
          <w:top w:val="single" w:color="FBEAEA" w:sz="2"/>
          <w:left w:val="single" w:color="C62828" w:sz="28"/>
          <w:bottom w:val="single" w:color="FBEAEA" w:sz="2"/>
          <w:right w:val="single" w:color="FBEAEA" w:sz="2"/>
          <w:insideH w:val="single" w:color="auto" w:sz="4"/>
          <w:insideV w:val="single" w:color="auto" w:sz="4"/>
        </w:tblBorders>
      </w:tblPr>
      <w:tblGrid>
        <w:gridCol w:w="9360"/>
      </w:tblGrid>
      <w:tr>
        <w:tc>
          <w:tcPr>
            <w:tcW w:type="dxa" w:w="9360"/>
            <w:shd w:fill="FBEAEA" w:val="clear"/>
            <w:tcMar>
              <w:top w:type="dxa" w:w="120"/>
              <w:left w:type="dxa" w:w="200"/>
              <w:bottom w:type="dxa" w:w="120"/>
              <w:right w:type="dxa" w:w="160"/>
            </w:tcMar>
          </w:tcPr>
          <w:p>
            <w:pPr>
              <w:spacing w:after="60"/>
            </w:pPr>
            <w:r>
              <w:rPr>
                <w:rFonts w:ascii="Calibri" w:cs="Calibri" w:eastAsia="Calibri" w:hAnsi="Calibri"/>
                <w:b/>
                <w:bCs/>
                <w:color w:val="C62828"/>
                <w:sz w:val="18"/>
                <w:szCs w:val="18"/>
              </w:rPr>
              <w:t xml:space="preserve">COHORT (post-launch)</w:t>
            </w:r>
          </w:p>
          <w:p>
            <w:pPr>
              <w:spacing w:after="0" w:line="282"/>
            </w:pPr>
            <w:r>
              <w:rPr>
                <w:rFonts w:ascii="Calibri" w:cs="Calibri" w:eastAsia="Calibri" w:hAnsi="Calibri"/>
                <w:b w:val="false"/>
                <w:bCs w:val="false"/>
                <w:i w:val="false"/>
                <w:iCs w:val="false"/>
                <w:color w:val="222222"/>
                <w:sz w:val="20"/>
                <w:szCs w:val="20"/>
              </w:rPr>
              <w:t xml:space="preserve">L2 cohort coverage-continuity is expected to be the </w:t>
            </w:r>
            <w:r>
              <w:rPr>
                <w:rFonts w:ascii="Calibri" w:cs="Calibri" w:eastAsia="Calibri" w:hAnsi="Calibri"/>
                <w:b/>
                <w:bCs/>
                <w:i w:val="false"/>
                <w:iCs w:val="false"/>
                <w:color w:val="222222"/>
                <w:sz w:val="20"/>
                <w:szCs w:val="20"/>
              </w:rPr>
              <w:t xml:space="preserve">highest of the three layers</w:t>
            </w:r>
            <w:r>
              <w:rPr>
                <w:rFonts w:ascii="Calibri" w:cs="Calibri" w:eastAsia="Calibri" w:hAnsi="Calibri"/>
                <w:b w:val="false"/>
                <w:bCs w:val="false"/>
                <w:i w:val="false"/>
                <w:iCs w:val="false"/>
                <w:color w:val="222222"/>
                <w:sz w:val="20"/>
                <w:szCs w:val="20"/>
              </w:rPr>
              <w:t xml:space="preserve"> — they’re natively fit. If this hypothesis is wrong, the entire layer logic needs revisiting; flag immediately.</w:t>
            </w:r>
          </w:p>
        </w:tc>
      </w:tr>
    </w:tbl>
    <w:p>
      <w:r>
        <w:br w:type="page"/>
      </w:r>
    </w:p>
    <w:p>
      <w:pPr>
        <w:pStyle w:val="Heading1"/>
        <w:spacing w:after="140" w:before="280"/>
      </w:pPr>
      <w:r>
        <w:rPr>
          <w:rFonts w:ascii="Calibri" w:cs="Calibri" w:eastAsia="Calibri" w:hAnsi="Calibri"/>
          <w:b/>
          <w:bCs/>
          <w:color w:val="443152"/>
          <w:sz w:val="30"/>
          <w:szCs w:val="30"/>
        </w:rPr>
        <w:t xml:space="preserve">6.  L3 — Workaround pain</w:t>
      </w:r>
    </w:p>
    <w:p>
      <w:pPr>
        <w:spacing w:after="140" w:before="0" w:line="288"/>
      </w:pPr>
      <w:r>
        <w:rPr>
          <w:rFonts w:ascii="Calibri" w:cs="Calibri" w:eastAsia="Calibri" w:hAnsi="Calibri"/>
          <w:b w:val="false"/>
          <w:bCs w:val="false"/>
          <w:i/>
          <w:iCs/>
          <w:color w:val="5A6B80"/>
          <w:sz w:val="22"/>
          <w:szCs w:val="22"/>
        </w:rPr>
        <w:t xml:space="preserve">“Mobile data for the house is painful.” They feel the pain but haven’t categorised home internet as the solution. Conversion of mobile-data-pain users into home-internet consideration.</w:t>
      </w:r>
    </w:p>
    <w:p>
      <w:pPr>
        <w:spacing w:after="80" w:before="160"/>
      </w:pPr>
      <w:r>
        <w:rPr>
          <w:rFonts w:ascii="Calibri" w:cs="Calibri" w:eastAsia="Calibri" w:hAnsi="Calibri"/>
          <w:b/>
          <w:bCs/>
          <w:color w:val="D9008D"/>
          <w:sz w:val="22"/>
          <w:szCs w:val="22"/>
        </w:rPr>
        <w:t xml:space="preserve">A. Objective</w:t>
      </w:r>
    </w:p>
    <w:tbl>
      <w:tblPr>
        <w:tblW w:type="dxa" w:w="9360"/>
        <w:tblBorders>
          <w:top w:val="single" w:color="FFE5F6" w:sz="2"/>
          <w:left w:val="single" w:color="D9008D" w:sz="28"/>
          <w:bottom w:val="single" w:color="FFE5F6" w:sz="2"/>
          <w:right w:val="single" w:color="FFE5F6" w:sz="2"/>
          <w:insideH w:val="single" w:color="auto" w:sz="4"/>
          <w:insideV w:val="single" w:color="auto" w:sz="4"/>
        </w:tblBorders>
      </w:tblPr>
      <w:tblGrid>
        <w:gridCol w:w="9360"/>
      </w:tblGrid>
      <w:tr>
        <w:tc>
          <w:tcPr>
            <w:tcW w:type="dxa" w:w="9360"/>
            <w:shd w:fill="FFE5F6" w:val="clear"/>
            <w:tcMar>
              <w:top w:type="dxa" w:w="120"/>
              <w:left w:type="dxa" w:w="200"/>
              <w:bottom w:type="dxa" w:w="120"/>
              <w:right w:type="dxa" w:w="160"/>
            </w:tcMar>
          </w:tcPr>
          <w:p>
            <w:pPr>
              <w:spacing w:after="60"/>
            </w:pPr>
            <w:r>
              <w:rPr>
                <w:rFonts w:ascii="Calibri" w:cs="Calibri" w:eastAsia="Calibri" w:hAnsi="Calibri"/>
                <w:b/>
                <w:bCs/>
                <w:color w:val="D9008D"/>
                <w:sz w:val="18"/>
                <w:szCs w:val="18"/>
              </w:rPr>
              <w:t xml:space="preserve">LAYER OBJECTIVE</w:t>
            </w:r>
          </w:p>
          <w:p>
            <w:pPr>
              <w:spacing w:after="0" w:line="282"/>
            </w:pPr>
            <w:r>
              <w:rPr>
                <w:rFonts w:ascii="Calibri" w:cs="Calibri" w:eastAsia="Calibri" w:hAnsi="Calibri"/>
                <w:b/>
                <w:bCs/>
                <w:color w:val="443152"/>
                <w:sz w:val="20"/>
                <w:szCs w:val="20"/>
              </w:rPr>
              <w:t xml:space="preserve">Convert the user’s felt mobile-data pain into recognition that home internet IS the answer — and Wiom is the recharge-shaped version that fits. Belief shift: “mobile data se kaam chal raha hai” → “ghar ka net solves this.”</w:t>
            </w:r>
          </w:p>
        </w:tc>
      </w:tr>
    </w:tbl>
    <w:p>
      <w:pPr>
        <w:spacing w:after="80" w:before="160"/>
      </w:pPr>
      <w:r>
        <w:rPr>
          <w:rFonts w:ascii="Calibri" w:cs="Calibri" w:eastAsia="Calibri" w:hAnsi="Calibri"/>
          <w:b/>
          <w:bCs/>
          <w:color w:val="D9008D"/>
          <w:sz w:val="22"/>
          <w:szCs w:val="22"/>
        </w:rPr>
        <w:t xml:space="preserve">B. Starting point — what the user brings</w:t>
      </w:r>
    </w:p>
    <w:tbl>
      <w:tblPr>
        <w:tblW w:type="dxa" w:w="9360"/>
        <w:tblBorders>
          <w:top w:val="single" w:color="D0D7DE" w:sz="2"/>
          <w:left w:val="single" w:color="D0D7DE" w:sz="2"/>
          <w:bottom w:val="single" w:color="D0D7DE" w:sz="2"/>
          <w:right w:val="single" w:color="D0D7DE" w:sz="2"/>
          <w:insideH w:val="single" w:color="D0D7DE" w:sz="2"/>
          <w:insideV w:val="single" w:color="D0D7DE" w:sz="2"/>
        </w:tblBorders>
      </w:tblPr>
      <w:tblGrid>
        <w:gridCol w:w="2100"/>
        <w:gridCol w:w="7260"/>
      </w:tblGrid>
      <w:tr>
        <w:trPr>
          <w:tblHeader/>
        </w:trPr>
        <w:tc>
          <w:tcPr>
            <w:tcW w:type="dxa" w:w="2100"/>
            <w:shd w:fill="443152"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
            </w:r>
          </w:p>
        </w:tc>
        <w:tc>
          <w:tcPr>
            <w:tcW w:type="dxa" w:w="7260"/>
            <w:shd w:fill="443152"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
            </w:r>
          </w:p>
        </w:tc>
      </w:tr>
      <w:tr>
        <w:tc>
          <w:tcPr>
            <w:tcW w:type="dxa" w:w="2100"/>
            <w:shd w:fill="FFFFFF" w:val="clear"/>
            <w:tcMar>
              <w:top w:type="dxa" w:w="80"/>
              <w:left w:type="dxa" w:w="130"/>
              <w:bottom w:type="dxa" w:w="80"/>
              <w:right w:type="dxa" w:w="130"/>
            </w:tcMar>
            <w:vAlign w:val="top"/>
          </w:tcPr>
          <w:p>
            <w:pPr>
              <w:spacing w:line="264"/>
            </w:pPr>
            <w:r>
              <w:rPr>
                <w:rFonts w:ascii="Calibri" w:cs="Calibri" w:eastAsia="Calibri" w:hAnsi="Calibri"/>
                <w:b/>
                <w:bCs/>
                <w:color w:val="1B7F5C"/>
                <w:sz w:val="18"/>
                <w:szCs w:val="18"/>
              </w:rPr>
              <w:t xml:space="preserve">Gifts (leverage)</w:t>
            </w:r>
          </w:p>
        </w:tc>
        <w:tc>
          <w:tcPr>
            <w:tcW w:type="dxa" w:w="7260"/>
            <w:shd w:fill="FFFFFF" w:val="clear"/>
            <w:tcMar>
              <w:top w:type="dxa" w:w="80"/>
              <w:left w:type="dxa" w:w="130"/>
              <w:bottom w:type="dxa" w:w="80"/>
              <w:right w:type="dxa" w:w="130"/>
            </w:tcMar>
            <w:vAlign w:val="top"/>
          </w:tcPr>
          <w:p>
            <w:pPr>
              <w:spacing w:line="264"/>
            </w:pPr>
            <w:r>
              <w:rPr>
                <w:rFonts w:ascii="Calibri" w:cs="Calibri" w:eastAsia="Calibri" w:hAnsi="Calibri"/>
                <w:b w:val="false"/>
                <w:bCs w:val="false"/>
                <w:i w:val="false"/>
                <w:iCs w:val="false"/>
                <w:color w:val="222222"/>
                <w:sz w:val="19"/>
                <w:szCs w:val="19"/>
              </w:rPr>
              <w:t xml:space="preserve">Feels real, ongoing pain: data running out, hotspot juggle, family complaints, kids fighting over data. Knows recharge (as mobile). Knows internet.</w:t>
            </w:r>
          </w:p>
        </w:tc>
      </w:tr>
      <w:tr>
        <w:tc>
          <w:tcPr>
            <w:tcW w:type="dxa" w:w="2100"/>
            <w:shd w:fill="FAFBFD" w:val="clear"/>
            <w:tcMar>
              <w:top w:type="dxa" w:w="80"/>
              <w:left w:type="dxa" w:w="130"/>
              <w:bottom w:type="dxa" w:w="80"/>
              <w:right w:type="dxa" w:w="130"/>
            </w:tcMar>
            <w:vAlign w:val="top"/>
          </w:tcPr>
          <w:p>
            <w:pPr>
              <w:spacing w:line="264"/>
            </w:pPr>
            <w:r>
              <w:rPr>
                <w:rFonts w:ascii="Calibri" w:cs="Calibri" w:eastAsia="Calibri" w:hAnsi="Calibri"/>
                <w:b/>
                <w:bCs/>
                <w:color w:val="C62828"/>
                <w:sz w:val="18"/>
                <w:szCs w:val="18"/>
              </w:rPr>
              <w:t xml:space="preserve">Traps (disrupt)</w:t>
            </w:r>
          </w:p>
        </w:tc>
        <w:tc>
          <w:tcPr>
            <w:tcW w:type="dxa" w:w="7260"/>
            <w:shd w:fill="FAFBFD" w:val="clear"/>
            <w:tcMar>
              <w:top w:type="dxa" w:w="80"/>
              <w:left w:type="dxa" w:w="130"/>
              <w:bottom w:type="dxa" w:w="80"/>
              <w:right w:type="dxa" w:w="130"/>
            </w:tcMar>
            <w:vAlign w:val="top"/>
          </w:tcPr>
          <w:p>
            <w:pPr>
              <w:spacing w:line="264"/>
            </w:pPr>
            <w:r>
              <w:rPr>
                <w:rFonts w:ascii="Calibri" w:cs="Calibri" w:eastAsia="Calibri" w:hAnsi="Calibri"/>
                <w:b w:val="false"/>
                <w:bCs w:val="false"/>
                <w:i w:val="false"/>
                <w:iCs w:val="false"/>
                <w:color w:val="222222"/>
                <w:sz w:val="19"/>
                <w:szCs w:val="19"/>
              </w:rPr>
              <w:t xml:space="preserve">Hasn’t categorised home internet as the solution to mobile-data pain. May see home internet as “not for me.” Tolerates the pain because it’s the default.</w:t>
            </w:r>
          </w:p>
        </w:tc>
      </w:tr>
      <w:tr>
        <w:tc>
          <w:tcPr>
            <w:tcW w:type="dxa" w:w="2100"/>
            <w:shd w:fill="FFFFFF" w:val="clear"/>
            <w:tcMar>
              <w:top w:type="dxa" w:w="80"/>
              <w:left w:type="dxa" w:w="130"/>
              <w:bottom w:type="dxa" w:w="80"/>
              <w:right w:type="dxa" w:w="130"/>
            </w:tcMar>
            <w:vAlign w:val="top"/>
          </w:tcPr>
          <w:p>
            <w:pPr>
              <w:spacing w:line="264"/>
            </w:pPr>
            <w:r>
              <w:rPr>
                <w:rFonts w:ascii="Calibri" w:cs="Calibri" w:eastAsia="Calibri" w:hAnsi="Calibri"/>
                <w:b/>
                <w:bCs/>
                <w:color w:val="5A6B80"/>
                <w:sz w:val="18"/>
                <w:szCs w:val="18"/>
              </w:rPr>
              <w:t xml:space="preserve">Lingo they bring</w:t>
            </w:r>
          </w:p>
        </w:tc>
        <w:tc>
          <w:tcPr>
            <w:tcW w:type="dxa" w:w="7260"/>
            <w:shd w:fill="FFFFFF" w:val="clear"/>
            <w:tcMar>
              <w:top w:type="dxa" w:w="80"/>
              <w:left w:type="dxa" w:w="130"/>
              <w:bottom w:type="dxa" w:w="80"/>
              <w:right w:type="dxa" w:w="130"/>
            </w:tcMar>
            <w:vAlign w:val="top"/>
          </w:tcPr>
          <w:p>
            <w:pPr>
              <w:spacing w:line="264"/>
            </w:pPr>
            <w:r>
              <w:rPr>
                <w:rFonts w:ascii="Calibri" w:cs="Calibri" w:eastAsia="Calibri" w:hAnsi="Calibri"/>
                <w:b w:val="false"/>
                <w:bCs w:val="false"/>
                <w:i w:val="false"/>
                <w:iCs w:val="false"/>
                <w:color w:val="222222"/>
                <w:sz w:val="19"/>
                <w:szCs w:val="19"/>
              </w:rPr>
              <w:t xml:space="preserve">Data nikal jata hai, hotspot, recharge (mobile), data finished, kaam chal raha hai.</w:t>
            </w:r>
          </w:p>
        </w:tc>
      </w:tr>
    </w:tbl>
    <w:p>
      <w:pPr>
        <w:spacing w:after="80"/>
      </w:pPr>
    </w:p>
    <w:p>
      <w:pPr>
        <w:spacing w:after="80" w:before="160"/>
      </w:pPr>
      <w:r>
        <w:rPr>
          <w:rFonts w:ascii="Calibri" w:cs="Calibri" w:eastAsia="Calibri" w:hAnsi="Calibri"/>
          <w:b/>
          <w:bCs/>
          <w:color w:val="D9008D"/>
          <w:sz w:val="22"/>
          <w:szCs w:val="22"/>
        </w:rPr>
        <w:t xml:space="preserve">C. The bridge to build</w:t>
      </w:r>
    </w:p>
    <w:p>
      <w:pPr>
        <w:spacing w:after="140" w:before="0" w:line="288"/>
      </w:pPr>
      <w:r>
        <w:rPr>
          <w:rFonts w:ascii="Calibri" w:cs="Calibri" w:eastAsia="Calibri" w:hAnsi="Calibri"/>
          <w:b w:val="false"/>
          <w:bCs w:val="false"/>
          <w:i w:val="false"/>
          <w:iCs w:val="false"/>
          <w:color w:val="222222"/>
          <w:sz w:val="22"/>
          <w:szCs w:val="22"/>
        </w:rPr>
        <w:t xml:space="preserve">A </w:t>
      </w:r>
      <w:r>
        <w:rPr>
          <w:rFonts w:ascii="Calibri" w:cs="Calibri" w:eastAsia="Calibri" w:hAnsi="Calibri"/>
          <w:b/>
          <w:bCs/>
          <w:i w:val="false"/>
          <w:iCs w:val="false"/>
          <w:color w:val="222222"/>
          <w:sz w:val="22"/>
          <w:szCs w:val="22"/>
        </w:rPr>
        <w:t xml:space="preserve">two-step</w:t>
      </w:r>
      <w:r>
        <w:rPr>
          <w:rFonts w:ascii="Calibri" w:cs="Calibri" w:eastAsia="Calibri" w:hAnsi="Calibri"/>
          <w:b w:val="false"/>
          <w:bCs w:val="false"/>
          <w:i w:val="false"/>
          <w:iCs w:val="false"/>
          <w:color w:val="222222"/>
          <w:sz w:val="22"/>
          <w:szCs w:val="22"/>
        </w:rPr>
        <w:t xml:space="preserve"> bridge: surface the pain first → then deliver ghar ka net as the answer that fits (recharge-shaped, so it fits their existing payment rhythm too). The cognitive motion: “this pain is bearable, just life” → “this pain has a solution” → “the solution is ghar ka net — and Wiom is the one that fits.”</w:t>
      </w:r>
    </w:p>
    <w:p>
      <w:pPr>
        <w:spacing w:after="80" w:before="160"/>
      </w:pPr>
      <w:r>
        <w:rPr>
          <w:rFonts w:ascii="Calibri" w:cs="Calibri" w:eastAsia="Calibri" w:hAnsi="Calibri"/>
          <w:b/>
          <w:bCs/>
          <w:color w:val="D9008D"/>
          <w:sz w:val="22"/>
          <w:szCs w:val="22"/>
        </w:rPr>
        <w:t xml:space="preserve">D. The differentiator to land</w:t>
      </w:r>
    </w:p>
    <w:p>
      <w:pPr>
        <w:spacing w:after="140" w:before="0" w:line="288"/>
      </w:pPr>
      <w:r>
        <w:rPr>
          <w:rFonts w:ascii="Calibri" w:cs="Calibri" w:eastAsia="Calibri" w:hAnsi="Calibri"/>
          <w:b/>
          <w:bCs/>
          <w:i w:val="false"/>
          <w:iCs w:val="false"/>
          <w:color w:val="222222"/>
          <w:sz w:val="22"/>
          <w:szCs w:val="22"/>
        </w:rPr>
        <w:t xml:space="preserve">Whole-family-on-one-recharge. </w:t>
      </w:r>
      <w:r>
        <w:rPr>
          <w:rFonts w:ascii="Calibri" w:cs="Calibri" w:eastAsia="Calibri" w:hAnsi="Calibri"/>
          <w:b w:val="false"/>
          <w:bCs w:val="false"/>
          <w:i w:val="false"/>
          <w:iCs w:val="false"/>
          <w:color w:val="222222"/>
          <w:sz w:val="22"/>
          <w:szCs w:val="22"/>
        </w:rPr>
        <w:t xml:space="preserve">The math is the proof: 3–4 mobile recharges across the family in a week = </w:t>
      </w:r>
      <w:r>
        <w:rPr>
          <w:rFonts w:ascii="Calibri" w:cs="Calibri" w:eastAsia="Calibri" w:hAnsi="Calibri"/>
          <w:b w:val="false"/>
          <w:bCs w:val="false"/>
          <w:i/>
          <w:iCs/>
          <w:color w:val="222222"/>
          <w:sz w:val="22"/>
          <w:szCs w:val="22"/>
        </w:rPr>
        <w:t xml:space="preserve">one</w:t>
      </w:r>
      <w:r>
        <w:rPr>
          <w:rFonts w:ascii="Calibri" w:cs="Calibri" w:eastAsia="Calibri" w:hAnsi="Calibri"/>
          <w:b w:val="false"/>
          <w:bCs w:val="false"/>
          <w:i w:val="false"/>
          <w:iCs w:val="false"/>
          <w:color w:val="222222"/>
          <w:sz w:val="22"/>
          <w:szCs w:val="22"/>
        </w:rPr>
        <w:t xml:space="preserve"> ghar recharge that serves everyone. Plus recharge-shape so it fits the payment rhythm they already have.</w:t>
      </w:r>
    </w:p>
    <w:p>
      <w:pPr>
        <w:spacing w:after="80" w:before="160"/>
      </w:pPr>
      <w:r>
        <w:rPr>
          <w:rFonts w:ascii="Calibri" w:cs="Calibri" w:eastAsia="Calibri" w:hAnsi="Calibri"/>
          <w:b/>
          <w:bCs/>
          <w:color w:val="D9008D"/>
          <w:sz w:val="22"/>
          <w:szCs w:val="22"/>
        </w:rPr>
        <w:t xml:space="preserve">E. What L3 messaging must NOT do</w:t>
      </w:r>
    </w:p>
    <w:p>
      <w:pPr>
        <w:pStyle w:val="ListParagraph"/>
        <w:numPr>
          <w:ilvl w:val="0"/>
          <w:numId w:val="5"/>
        </w:numPr>
        <w:spacing w:after="80" w:line="282"/>
      </w:pPr>
      <w:r>
        <w:rPr>
          <w:rFonts w:ascii="Calibri" w:cs="Calibri" w:eastAsia="Calibri" w:hAnsi="Calibri"/>
          <w:b/>
          <w:bCs/>
          <w:i w:val="false"/>
          <w:iCs w:val="false"/>
          <w:color w:val="222222"/>
          <w:sz w:val="22"/>
          <w:szCs w:val="22"/>
        </w:rPr>
        <w:t xml:space="preserve">Don’t lead with category before pain.</w:t>
      </w:r>
      <w:r>
        <w:rPr>
          <w:rFonts w:ascii="Calibri" w:cs="Calibri" w:eastAsia="Calibri" w:hAnsi="Calibri"/>
          <w:b w:val="false"/>
          <w:bCs w:val="false"/>
          <w:i w:val="false"/>
          <w:iCs w:val="false"/>
          <w:color w:val="222222"/>
          <w:sz w:val="22"/>
          <w:szCs w:val="22"/>
        </w:rPr>
        <w:t xml:space="preserve"> Pain is the door for L3. Opening with “ghar ka net hai” loses them before they’re listening.</w:t>
      </w:r>
    </w:p>
    <w:p>
      <w:pPr>
        <w:pStyle w:val="ListParagraph"/>
        <w:numPr>
          <w:ilvl w:val="0"/>
          <w:numId w:val="5"/>
        </w:numPr>
        <w:spacing w:after="80" w:line="282"/>
      </w:pPr>
      <w:r>
        <w:rPr>
          <w:rFonts w:ascii="Calibri" w:cs="Calibri" w:eastAsia="Calibri" w:hAnsi="Calibri"/>
          <w:b/>
          <w:bCs/>
          <w:i w:val="false"/>
          <w:iCs w:val="false"/>
          <w:color w:val="222222"/>
          <w:sz w:val="22"/>
          <w:szCs w:val="22"/>
        </w:rPr>
        <w:t xml:space="preserve">Don’t shame the current behaviour.</w:t>
      </w:r>
      <w:r>
        <w:rPr>
          <w:rFonts w:ascii="Calibri" w:cs="Calibri" w:eastAsia="Calibri" w:hAnsi="Calibri"/>
          <w:b w:val="false"/>
          <w:bCs w:val="false"/>
          <w:i w:val="false"/>
          <w:iCs w:val="false"/>
          <w:color w:val="222222"/>
          <w:sz w:val="22"/>
          <w:szCs w:val="22"/>
        </w:rPr>
        <w:t xml:space="preserve"> Mobile data has been their solution. Respect it before you replace it.</w:t>
      </w:r>
    </w:p>
    <w:p>
      <w:pPr>
        <w:pStyle w:val="ListParagraph"/>
        <w:numPr>
          <w:ilvl w:val="0"/>
          <w:numId w:val="5"/>
        </w:numPr>
        <w:spacing w:after="80" w:line="282"/>
      </w:pPr>
      <w:r>
        <w:rPr>
          <w:rFonts w:ascii="Calibri" w:cs="Calibri" w:eastAsia="Calibri" w:hAnsi="Calibri"/>
          <w:b/>
          <w:bCs/>
          <w:i w:val="false"/>
          <w:iCs w:val="false"/>
          <w:color w:val="222222"/>
          <w:sz w:val="22"/>
          <w:szCs w:val="22"/>
        </w:rPr>
        <w:t xml:space="preserve">Don’t make it aspirational.</w:t>
      </w:r>
      <w:r>
        <w:rPr>
          <w:rFonts w:ascii="Calibri" w:cs="Calibri" w:eastAsia="Calibri" w:hAnsi="Calibri"/>
          <w:b w:val="false"/>
          <w:bCs w:val="false"/>
          <w:i w:val="false"/>
          <w:iCs w:val="false"/>
          <w:color w:val="222222"/>
          <w:sz w:val="22"/>
          <w:szCs w:val="22"/>
        </w:rPr>
        <w:t xml:space="preserve"> “Imagine your family with home internet” is Bob’s territory. Keep it relief-based and grounded.</w:t>
      </w:r>
    </w:p>
    <w:p>
      <w:pPr>
        <w:pStyle w:val="ListParagraph"/>
        <w:numPr>
          <w:ilvl w:val="0"/>
          <w:numId w:val="5"/>
        </w:numPr>
        <w:spacing w:after="80" w:line="282"/>
      </w:pPr>
      <w:r>
        <w:rPr>
          <w:rFonts w:ascii="Calibri" w:cs="Calibri" w:eastAsia="Calibri" w:hAnsi="Calibri"/>
          <w:b/>
          <w:bCs/>
          <w:i w:val="false"/>
          <w:iCs w:val="false"/>
          <w:color w:val="222222"/>
          <w:sz w:val="22"/>
          <w:szCs w:val="22"/>
        </w:rPr>
        <w:t xml:space="preserve">Don’t compete with mobile providers.</w:t>
      </w:r>
      <w:r>
        <w:rPr>
          <w:rFonts w:ascii="Calibri" w:cs="Calibri" w:eastAsia="Calibri" w:hAnsi="Calibri"/>
          <w:b w:val="false"/>
          <w:bCs w:val="false"/>
          <w:i w:val="false"/>
          <w:iCs w:val="false"/>
          <w:color w:val="222222"/>
          <w:sz w:val="22"/>
          <w:szCs w:val="22"/>
        </w:rPr>
        <w:t xml:space="preserve"> Frame as “next level,” not “alternative.” You’re solving a different problem.</w:t>
      </w:r>
    </w:p>
    <w:p>
      <w:pPr>
        <w:pStyle w:val="ListParagraph"/>
        <w:numPr>
          <w:ilvl w:val="0"/>
          <w:numId w:val="5"/>
        </w:numPr>
        <w:spacing w:after="80" w:line="282"/>
      </w:pPr>
      <w:r>
        <w:rPr>
          <w:rFonts w:ascii="Calibri" w:cs="Calibri" w:eastAsia="Calibri" w:hAnsi="Calibri"/>
          <w:b/>
          <w:bCs/>
          <w:i w:val="false"/>
          <w:iCs w:val="false"/>
          <w:color w:val="222222"/>
          <w:sz w:val="22"/>
          <w:szCs w:val="22"/>
        </w:rPr>
        <w:t xml:space="preserve">Don’t lead with price competition.</w:t>
      </w:r>
      <w:r>
        <w:rPr>
          <w:rFonts w:ascii="Calibri" w:cs="Calibri" w:eastAsia="Calibri" w:hAnsi="Calibri"/>
          <w:b w:val="false"/>
          <w:bCs w:val="false"/>
          <w:i w:val="false"/>
          <w:iCs w:val="false"/>
          <w:color w:val="222222"/>
          <w:sz w:val="22"/>
          <w:szCs w:val="22"/>
        </w:rPr>
        <w:t xml:space="preserve"> Make it about pain relief and the math, not “cheaper than mobile recharge.”</w:t>
      </w:r>
    </w:p>
    <w:p>
      <w:pPr>
        <w:pStyle w:val="ListParagraph"/>
        <w:numPr>
          <w:ilvl w:val="0"/>
          <w:numId w:val="5"/>
        </w:numPr>
        <w:spacing w:after="80" w:line="282"/>
      </w:pPr>
      <w:r>
        <w:rPr>
          <w:rFonts w:ascii="Calibri" w:cs="Calibri" w:eastAsia="Calibri" w:hAnsi="Calibri"/>
          <w:b/>
          <w:bCs/>
          <w:i w:val="false"/>
          <w:iCs w:val="false"/>
          <w:color w:val="222222"/>
          <w:sz w:val="22"/>
          <w:szCs w:val="22"/>
        </w:rPr>
        <w:t xml:space="preserve">Don’t let mobile-recharge contrast put mobile as the destination.</w:t>
      </w:r>
      <w:r>
        <w:rPr>
          <w:rFonts w:ascii="Calibri" w:cs="Calibri" w:eastAsia="Calibri" w:hAnsi="Calibri"/>
          <w:b w:val="false"/>
          <w:bCs w:val="false"/>
          <w:i w:val="false"/>
          <w:iCs w:val="false"/>
          <w:color w:val="222222"/>
          <w:sz w:val="22"/>
          <w:szCs w:val="22"/>
        </w:rPr>
        <w:t xml:space="preserve"> This is Family B in the Contrast Doctrine. Contrast is permitted for L3 — but the destination must be “ghar ka net” / “poore ghar ka net.” </w:t>
      </w:r>
      <w:r>
        <w:rPr>
          <w:rFonts w:ascii="Calibri" w:cs="Calibri" w:eastAsia="Calibri" w:hAnsi="Calibri"/>
          <w:b w:val="false"/>
          <w:bCs w:val="false"/>
          <w:i/>
          <w:iCs/>
          <w:color w:val="222222"/>
          <w:sz w:val="22"/>
          <w:szCs w:val="22"/>
        </w:rPr>
        <w:t xml:space="preserve">Safety rule: “net” must be the destination noun, never “recharge” alone.</w:t>
      </w:r>
      <w:r>
        <w:rPr>
          <w:rFonts w:ascii="Calibri" w:cs="Calibri" w:eastAsia="Calibri" w:hAnsi="Calibri"/>
          <w:b w:val="false"/>
          <w:bCs w:val="false"/>
          <w:i w:val="false"/>
          <w:iCs w:val="false"/>
          <w:color w:val="222222"/>
          <w:sz w:val="22"/>
          <w:szCs w:val="22"/>
        </w:rPr>
        <w:t xml:space="preserve"> Forbidden: “Wiom ka recharge poore ghar ke liye” (recharge as head noun), “mobile recharge jaisa hi recharge,” “mobile recharge se sasta.” Full permitted/forbidden patterns: Doctrine §6C. Destination test: Doctrine §5C.</w:t>
      </w:r>
    </w:p>
    <w:p>
      <w:pPr>
        <w:spacing w:after="80" w:before="160"/>
      </w:pPr>
      <w:r>
        <w:rPr>
          <w:rFonts w:ascii="Calibri" w:cs="Calibri" w:eastAsia="Calibri" w:hAnsi="Calibri"/>
          <w:b/>
          <w:bCs/>
          <w:color w:val="D9008D"/>
          <w:sz w:val="22"/>
          <w:szCs w:val="22"/>
        </w:rPr>
        <w:t xml:space="preserve">F. Proof structures that work</w:t>
      </w:r>
    </w:p>
    <w:p>
      <w:pPr>
        <w:pStyle w:val="ListParagraph"/>
        <w:numPr>
          <w:ilvl w:val="0"/>
          <w:numId w:val="6"/>
        </w:numPr>
        <w:spacing w:after="80" w:line="282"/>
      </w:pPr>
      <w:r>
        <w:rPr>
          <w:rFonts w:ascii="Calibri" w:cs="Calibri" w:eastAsia="Calibri" w:hAnsi="Calibri"/>
          <w:b/>
          <w:bCs/>
          <w:i w:val="false"/>
          <w:iCs w:val="false"/>
          <w:color w:val="222222"/>
          <w:sz w:val="22"/>
          <w:szCs w:val="22"/>
        </w:rPr>
        <w:t xml:space="preserve">Pain-first opening:</w:t>
      </w:r>
      <w:r>
        <w:rPr>
          <w:rFonts w:ascii="Calibri" w:cs="Calibri" w:eastAsia="Calibri" w:hAnsi="Calibri"/>
          <w:b w:val="false"/>
          <w:bCs w:val="false"/>
          <w:i w:val="false"/>
          <w:iCs w:val="false"/>
          <w:color w:val="222222"/>
          <w:sz w:val="22"/>
          <w:szCs w:val="22"/>
        </w:rPr>
        <w:t xml:space="preserve"> “Mobile data se kaam chal raha hai? Family ko data dena padta hai?” Trigger recognition before delivering the answer.</w:t>
      </w:r>
    </w:p>
    <w:p>
      <w:pPr>
        <w:pStyle w:val="ListParagraph"/>
        <w:numPr>
          <w:ilvl w:val="0"/>
          <w:numId w:val="6"/>
        </w:numPr>
        <w:spacing w:after="80" w:line="282"/>
      </w:pPr>
      <w:r>
        <w:rPr>
          <w:rFonts w:ascii="Calibri" w:cs="Calibri" w:eastAsia="Calibri" w:hAnsi="Calibri"/>
          <w:b/>
          <w:bCs/>
          <w:i w:val="false"/>
          <w:iCs w:val="false"/>
          <w:color w:val="222222"/>
          <w:sz w:val="22"/>
          <w:szCs w:val="22"/>
        </w:rPr>
        <w:t xml:space="preserve">Math demonstration:</w:t>
      </w:r>
      <w:r>
        <w:rPr>
          <w:rFonts w:ascii="Calibri" w:cs="Calibri" w:eastAsia="Calibri" w:hAnsi="Calibri"/>
          <w:b w:val="false"/>
          <w:bCs w:val="false"/>
          <w:i w:val="false"/>
          <w:iCs w:val="false"/>
          <w:color w:val="222222"/>
          <w:sz w:val="22"/>
          <w:szCs w:val="22"/>
        </w:rPr>
        <w:t xml:space="preserve"> 4 mobile recharges a week = 1 ghar recharge that serves everyone. The math </w:t>
      </w:r>
      <w:r>
        <w:rPr>
          <w:rFonts w:ascii="Calibri" w:cs="Calibri" w:eastAsia="Calibri" w:hAnsi="Calibri"/>
          <w:b w:val="false"/>
          <w:bCs w:val="false"/>
          <w:i/>
          <w:iCs/>
          <w:color w:val="222222"/>
          <w:sz w:val="22"/>
          <w:szCs w:val="22"/>
        </w:rPr>
        <w:t xml:space="preserve">is</w:t>
      </w:r>
      <w:r>
        <w:rPr>
          <w:rFonts w:ascii="Calibri" w:cs="Calibri" w:eastAsia="Calibri" w:hAnsi="Calibri"/>
          <w:b w:val="false"/>
          <w:bCs w:val="false"/>
          <w:i w:val="false"/>
          <w:iCs w:val="false"/>
          <w:color w:val="222222"/>
          <w:sz w:val="22"/>
          <w:szCs w:val="22"/>
        </w:rPr>
        <w:t xml:space="preserve"> the proof.</w:t>
      </w:r>
    </w:p>
    <w:p>
      <w:pPr>
        <w:pStyle w:val="ListParagraph"/>
        <w:numPr>
          <w:ilvl w:val="0"/>
          <w:numId w:val="6"/>
        </w:numPr>
        <w:spacing w:after="80" w:line="282"/>
      </w:pPr>
      <w:r>
        <w:rPr>
          <w:rFonts w:ascii="Calibri" w:cs="Calibri" w:eastAsia="Calibri" w:hAnsi="Calibri"/>
          <w:b/>
          <w:bCs/>
          <w:i w:val="false"/>
          <w:iCs w:val="false"/>
          <w:color w:val="222222"/>
          <w:sz w:val="22"/>
          <w:szCs w:val="22"/>
        </w:rPr>
        <w:t xml:space="preserve">Whole-family-using-internet-without-fighting visual.</w:t>
      </w:r>
      <w:r>
        <w:rPr>
          <w:rFonts w:ascii="Calibri" w:cs="Calibri" w:eastAsia="Calibri" w:hAnsi="Calibri"/>
          <w:b w:val="false"/>
          <w:bCs w:val="false"/>
          <w:i w:val="false"/>
          <w:iCs w:val="false"/>
          <w:color w:val="222222"/>
          <w:sz w:val="22"/>
          <w:szCs w:val="22"/>
        </w:rPr>
        <w:t xml:space="preserve"> Relief, not aspiration.</w:t>
      </w:r>
    </w:p>
    <w:p>
      <w:pPr>
        <w:pStyle w:val="ListParagraph"/>
        <w:numPr>
          <w:ilvl w:val="0"/>
          <w:numId w:val="6"/>
        </w:numPr>
        <w:spacing w:after="80" w:line="282"/>
      </w:pPr>
      <w:r>
        <w:rPr>
          <w:rFonts w:ascii="Calibri" w:cs="Calibri" w:eastAsia="Calibri" w:hAnsi="Calibri"/>
          <w:b/>
          <w:bCs/>
          <w:i w:val="false"/>
          <w:iCs w:val="false"/>
          <w:color w:val="222222"/>
          <w:sz w:val="22"/>
          <w:szCs w:val="22"/>
        </w:rPr>
        <w:t xml:space="preserve">Two-step framing in the creative:</w:t>
      </w:r>
      <w:r>
        <w:rPr>
          <w:rFonts w:ascii="Calibri" w:cs="Calibri" w:eastAsia="Calibri" w:hAnsi="Calibri"/>
          <w:b w:val="false"/>
          <w:bCs w:val="false"/>
          <w:i w:val="false"/>
          <w:iCs w:val="false"/>
          <w:color w:val="222222"/>
          <w:sz w:val="22"/>
          <w:szCs w:val="22"/>
        </w:rPr>
        <w:t xml:space="preserve"> name the pain, then introduce the answer. Don’t conflate them.</w:t>
      </w:r>
    </w:p>
    <w:p>
      <w:pPr>
        <w:spacing w:after="80" w:before="160"/>
      </w:pPr>
      <w:r>
        <w:rPr>
          <w:rFonts w:ascii="Calibri" w:cs="Calibri" w:eastAsia="Calibri" w:hAnsi="Calibri"/>
          <w:b/>
          <w:bCs/>
          <w:color w:val="D9008D"/>
          <w:sz w:val="22"/>
          <w:szCs w:val="22"/>
        </w:rPr>
        <w:t xml:space="preserve">G. Success criteria</w:t>
      </w:r>
    </w:p>
    <w:tbl>
      <w:tblPr>
        <w:tblW w:type="dxa" w:w="9360"/>
        <w:tblBorders>
          <w:top w:val="single" w:color="E6F4EE" w:sz="2"/>
          <w:left w:val="single" w:color="1B7F5C" w:sz="28"/>
          <w:bottom w:val="single" w:color="E6F4EE" w:sz="2"/>
          <w:right w:val="single" w:color="E6F4EE" w:sz="2"/>
          <w:insideH w:val="single" w:color="auto" w:sz="4"/>
          <w:insideV w:val="single" w:color="auto" w:sz="4"/>
        </w:tblBorders>
      </w:tblPr>
      <w:tblGrid>
        <w:gridCol w:w="9360"/>
      </w:tblGrid>
      <w:tr>
        <w:tc>
          <w:tcPr>
            <w:tcW w:type="dxa" w:w="9360"/>
            <w:shd w:fill="E6F4EE" w:val="clear"/>
            <w:tcMar>
              <w:top w:type="dxa" w:w="120"/>
              <w:left w:type="dxa" w:w="200"/>
              <w:bottom w:type="dxa" w:w="120"/>
              <w:right w:type="dxa" w:w="160"/>
            </w:tcMar>
          </w:tcPr>
          <w:p>
            <w:pPr>
              <w:spacing w:after="60"/>
            </w:pPr>
            <w:r>
              <w:rPr>
                <w:rFonts w:ascii="Calibri" w:cs="Calibri" w:eastAsia="Calibri" w:hAnsi="Calibri"/>
                <w:b/>
                <w:bCs/>
                <w:color w:val="1B7F5C"/>
                <w:sz w:val="18"/>
                <w:szCs w:val="18"/>
              </w:rPr>
              <w:t xml:space="preserve">COMPREHENSION (pre-launch)</w:t>
            </w:r>
          </w:p>
          <w:p>
            <w:pPr>
              <w:spacing w:after="70" w:line="282"/>
            </w:pPr>
            <w:r>
              <w:rPr>
                <w:rFonts w:ascii="Calibri" w:cs="Calibri" w:eastAsia="Calibri" w:hAnsi="Calibri"/>
                <w:b w:val="false"/>
                <w:bCs w:val="false"/>
                <w:i w:val="false"/>
                <w:iCs w:val="false"/>
                <w:color w:val="222222"/>
                <w:sz w:val="20"/>
                <w:szCs w:val="20"/>
              </w:rPr>
              <w:t xml:space="preserve">User articulates why ghar ka net solves </w:t>
            </w:r>
            <w:r>
              <w:rPr>
                <w:rFonts w:ascii="Calibri" w:cs="Calibri" w:eastAsia="Calibri" w:hAnsi="Calibri"/>
                <w:b/>
                <w:bCs/>
                <w:i w:val="false"/>
                <w:iCs w:val="false"/>
                <w:color w:val="222222"/>
                <w:sz w:val="20"/>
                <w:szCs w:val="20"/>
              </w:rPr>
              <w:t xml:space="preserve">their specific pain</w:t>
            </w:r>
            <w:r>
              <w:rPr>
                <w:rFonts w:ascii="Calibri" w:cs="Calibri" w:eastAsia="Calibri" w:hAnsi="Calibri"/>
                <w:b w:val="false"/>
                <w:bCs w:val="false"/>
                <w:i w:val="false"/>
                <w:iCs w:val="false"/>
                <w:color w:val="222222"/>
                <w:sz w:val="20"/>
                <w:szCs w:val="20"/>
              </w:rPr>
              <w:t xml:space="preserve"> — the math + the whole-family use case.</w:t>
            </w:r>
          </w:p>
          <w:p>
            <w:pPr>
              <w:spacing w:after="0" w:line="282"/>
            </w:pPr>
            <w:r>
              <w:rPr>
                <w:rFonts w:ascii="Calibri" w:cs="Calibri" w:eastAsia="Calibri" w:hAnsi="Calibri"/>
                <w:b w:val="false"/>
                <w:bCs w:val="false"/>
                <w:i w:val="false"/>
                <w:iCs w:val="false"/>
                <w:color w:val="222222"/>
                <w:sz w:val="20"/>
                <w:szCs w:val="20"/>
              </w:rPr>
              <w:t xml:space="preserve">Recognition of the pain itself is high (it’s real); the test is whether ghar ka net registers as the solution.</w:t>
            </w:r>
          </w:p>
        </w:tc>
      </w:tr>
    </w:tbl>
    <w:p>
      <w:pPr>
        <w:spacing w:after="40"/>
      </w:pPr>
    </w:p>
    <w:tbl>
      <w:tblPr>
        <w:tblW w:type="dxa" w:w="9360"/>
        <w:tblBorders>
          <w:top w:val="single" w:color="FBEAEA" w:sz="2"/>
          <w:left w:val="single" w:color="C62828" w:sz="28"/>
          <w:bottom w:val="single" w:color="FBEAEA" w:sz="2"/>
          <w:right w:val="single" w:color="FBEAEA" w:sz="2"/>
          <w:insideH w:val="single" w:color="auto" w:sz="4"/>
          <w:insideV w:val="single" w:color="auto" w:sz="4"/>
        </w:tblBorders>
      </w:tblPr>
      <w:tblGrid>
        <w:gridCol w:w="9360"/>
      </w:tblGrid>
      <w:tr>
        <w:tc>
          <w:tcPr>
            <w:tcW w:type="dxa" w:w="9360"/>
            <w:shd w:fill="FBEAEA" w:val="clear"/>
            <w:tcMar>
              <w:top w:type="dxa" w:w="120"/>
              <w:left w:type="dxa" w:w="200"/>
              <w:bottom w:type="dxa" w:w="120"/>
              <w:right w:type="dxa" w:w="160"/>
            </w:tcMar>
          </w:tcPr>
          <w:p>
            <w:pPr>
              <w:spacing w:after="60"/>
            </w:pPr>
            <w:r>
              <w:rPr>
                <w:rFonts w:ascii="Calibri" w:cs="Calibri" w:eastAsia="Calibri" w:hAnsi="Calibri"/>
                <w:b/>
                <w:bCs/>
                <w:color w:val="C62828"/>
                <w:sz w:val="18"/>
                <w:szCs w:val="18"/>
              </w:rPr>
              <w:t xml:space="preserve">COHORT (post-launch)</w:t>
            </w:r>
          </w:p>
          <w:p>
            <w:pPr>
              <w:spacing w:after="0" w:line="282"/>
            </w:pPr>
            <w:r>
              <w:rPr>
                <w:rFonts w:ascii="Calibri" w:cs="Calibri" w:eastAsia="Calibri" w:hAnsi="Calibri"/>
                <w:b/>
                <w:bCs/>
                <w:i w:val="false"/>
                <w:iCs w:val="false"/>
                <w:color w:val="222222"/>
                <w:sz w:val="20"/>
                <w:szCs w:val="20"/>
              </w:rPr>
              <w:t xml:space="preserve">Longer payback expected</w:t>
            </w:r>
            <w:r>
              <w:rPr>
                <w:rFonts w:ascii="Calibri" w:cs="Calibri" w:eastAsia="Calibri" w:hAnsi="Calibri"/>
                <w:b w:val="false"/>
                <w:bCs w:val="false"/>
                <w:i w:val="false"/>
                <w:iCs w:val="false"/>
                <w:color w:val="222222"/>
                <w:sz w:val="20"/>
                <w:szCs w:val="20"/>
              </w:rPr>
              <w:t xml:space="preserve"> — the cognitive movement is real. Coverage-continuity remains the gate. L3 may need assisted-conversion measurement and — if it starves under shared optimisation — separate engagement-event treatment (per the activation framework’s fragmentation trigger).</w:t>
            </w:r>
          </w:p>
        </w:tc>
      </w:tr>
    </w:tbl>
    <w:p>
      <w:r>
        <w:br w:type="page"/>
      </w:r>
    </w:p>
    <w:p>
      <w:pPr>
        <w:pStyle w:val="Heading1"/>
        <w:spacing w:after="140" w:before="280"/>
      </w:pPr>
      <w:r>
        <w:rPr>
          <w:rFonts w:ascii="Calibri" w:cs="Calibri" w:eastAsia="Calibri" w:hAnsi="Calibri"/>
          <w:b/>
          <w:bCs/>
          <w:color w:val="443152"/>
          <w:sz w:val="30"/>
          <w:szCs w:val="30"/>
        </w:rPr>
        <w:t xml:space="preserve">7.  Universal craft rules — from the May creative sprint</w:t>
      </w:r>
    </w:p>
    <w:p>
      <w:pPr>
        <w:spacing w:after="140" w:before="0" w:line="288"/>
      </w:pPr>
      <w:r>
        <w:rPr>
          <w:rFonts w:ascii="Calibri" w:cs="Calibri" w:eastAsia="Calibri" w:hAnsi="Calibri"/>
          <w:b w:val="false"/>
          <w:bCs w:val="false"/>
          <w:i w:val="false"/>
          <w:iCs w:val="false"/>
          <w:color w:val="222222"/>
          <w:sz w:val="22"/>
          <w:szCs w:val="22"/>
        </w:rPr>
        <w:t xml:space="preserve">Forty-four interviews. Three statics. One video. The May sprint settled craft rules that apply </w:t>
      </w:r>
      <w:r>
        <w:rPr>
          <w:rFonts w:ascii="Calibri" w:cs="Calibri" w:eastAsia="Calibri" w:hAnsi="Calibri"/>
          <w:b w:val="false"/>
          <w:bCs w:val="false"/>
          <w:i/>
          <w:iCs/>
          <w:color w:val="222222"/>
          <w:sz w:val="22"/>
          <w:szCs w:val="22"/>
        </w:rPr>
        <w:t xml:space="preserve">across all three layers</w:t>
      </w:r>
      <w:r>
        <w:rPr>
          <w:rFonts w:ascii="Calibri" w:cs="Calibri" w:eastAsia="Calibri" w:hAnsi="Calibri"/>
          <w:b w:val="false"/>
          <w:bCs w:val="false"/>
          <w:i w:val="false"/>
          <w:iCs w:val="false"/>
          <w:color w:val="222222"/>
          <w:sz w:val="22"/>
          <w:szCs w:val="22"/>
        </w:rPr>
        <w:t xml:space="preserve">. These are rules, not preferences — every brief obeys them.</w:t>
      </w:r>
    </w:p>
    <w:p>
      <w:pPr>
        <w:pStyle w:val="ListParagraph"/>
        <w:numPr>
          <w:ilvl w:val="0"/>
          <w:numId w:val="7"/>
        </w:numPr>
        <w:spacing w:after="80" w:line="282"/>
      </w:pPr>
      <w:r>
        <w:rPr>
          <w:rFonts w:ascii="Calibri" w:cs="Calibri" w:eastAsia="Calibri" w:hAnsi="Calibri"/>
          <w:b/>
          <w:bCs/>
          <w:i w:val="false"/>
          <w:iCs w:val="false"/>
          <w:color w:val="222222"/>
          <w:sz w:val="22"/>
          <w:szCs w:val="22"/>
        </w:rPr>
        <w:t xml:space="preserve">Simple beats clever.</w:t>
      </w:r>
      <w:r>
        <w:rPr>
          <w:rFonts w:ascii="Calibri" w:cs="Calibri" w:eastAsia="Calibri" w:hAnsi="Calibri"/>
          <w:b w:val="false"/>
          <w:bCs w:val="false"/>
          <w:i w:val="false"/>
          <w:iCs w:val="false"/>
          <w:color w:val="222222"/>
          <w:sz w:val="22"/>
          <w:szCs w:val="22"/>
        </w:rPr>
        <w:t xml:space="preserve"> Static 01 (plain copy, no occasion examples) hit 60% “Net” identification with zero confusion. Static 02 (match/exam examples) hit 0% “Net” with 21% confusion. The simpler structure won on every measure.</w:t>
      </w:r>
    </w:p>
    <w:p>
      <w:pPr>
        <w:pStyle w:val="ListParagraph"/>
        <w:numPr>
          <w:ilvl w:val="0"/>
          <w:numId w:val="7"/>
        </w:numPr>
        <w:spacing w:after="80" w:line="282"/>
      </w:pPr>
      <w:r>
        <w:rPr>
          <w:rFonts w:ascii="Calibri" w:cs="Calibri" w:eastAsia="Calibri" w:hAnsi="Calibri"/>
          <w:b/>
          <w:bCs/>
          <w:i w:val="false"/>
          <w:iCs w:val="false"/>
          <w:color w:val="222222"/>
          <w:sz w:val="22"/>
          <w:szCs w:val="22"/>
        </w:rPr>
        <w:t xml:space="preserve">One job per creative.</w:t>
      </w:r>
      <w:r>
        <w:rPr>
          <w:rFonts w:ascii="Calibri" w:cs="Calibri" w:eastAsia="Calibri" w:hAnsi="Calibri"/>
          <w:b w:val="false"/>
          <w:bCs w:val="false"/>
          <w:i w:val="false"/>
          <w:iCs w:val="false"/>
          <w:color w:val="222222"/>
          <w:sz w:val="22"/>
          <w:szCs w:val="22"/>
        </w:rPr>
        <w:t xml:space="preserve"> When category and flexibility were both jammed in, neither landed. Land one cleanly, then the next — in the next creative.</w:t>
      </w:r>
    </w:p>
    <w:p>
      <w:pPr>
        <w:pStyle w:val="ListParagraph"/>
        <w:numPr>
          <w:ilvl w:val="0"/>
          <w:numId w:val="7"/>
        </w:numPr>
        <w:spacing w:after="80" w:line="282"/>
      </w:pPr>
      <w:r>
        <w:rPr>
          <w:rFonts w:ascii="Calibri" w:cs="Calibri" w:eastAsia="Calibri" w:hAnsi="Calibri"/>
          <w:b/>
          <w:bCs/>
          <w:i w:val="false"/>
          <w:iCs w:val="false"/>
          <w:color w:val="222222"/>
          <w:sz w:val="22"/>
          <w:szCs w:val="22"/>
        </w:rPr>
        <w:t xml:space="preserve">Category-first, value-second.</w:t>
      </w:r>
      <w:r>
        <w:rPr>
          <w:rFonts w:ascii="Calibri" w:cs="Calibri" w:eastAsia="Calibri" w:hAnsi="Calibri"/>
          <w:b w:val="false"/>
          <w:bCs w:val="false"/>
          <w:i w:val="false"/>
          <w:iCs w:val="false"/>
          <w:color w:val="222222"/>
          <w:sz w:val="22"/>
          <w:szCs w:val="22"/>
        </w:rPr>
        <w:t xml:space="preserve"> When category landed (17 of 44 said “Net”), 10 also picked up flexibility. When category didn’t land, flexibility may transmit but the user can’t act on it.</w:t>
      </w:r>
    </w:p>
    <w:p>
      <w:pPr>
        <w:pStyle w:val="ListParagraph"/>
        <w:numPr>
          <w:ilvl w:val="0"/>
          <w:numId w:val="7"/>
        </w:numPr>
        <w:spacing w:after="80" w:line="282"/>
      </w:pPr>
      <w:r>
        <w:rPr>
          <w:rFonts w:ascii="Calibri" w:cs="Calibri" w:eastAsia="Calibri" w:hAnsi="Calibri"/>
          <w:b/>
          <w:bCs/>
          <w:i w:val="false"/>
          <w:iCs w:val="false"/>
          <w:color w:val="222222"/>
          <w:sz w:val="22"/>
          <w:szCs w:val="22"/>
        </w:rPr>
        <w:t xml:space="preserve">Don’t add use-case examples before category is resolved.</w:t>
      </w:r>
      <w:r>
        <w:rPr>
          <w:rFonts w:ascii="Calibri" w:cs="Calibri" w:eastAsia="Calibri" w:hAnsi="Calibri"/>
          <w:b w:val="false"/>
          <w:bCs w:val="false"/>
          <w:i w:val="false"/>
          <w:iCs w:val="false"/>
          <w:color w:val="222222"/>
          <w:sz w:val="22"/>
          <w:szCs w:val="22"/>
        </w:rPr>
        <w:t xml:space="preserve"> The audience is still working out “what is this.” Examples add load, not clarity.</w:t>
      </w:r>
    </w:p>
    <w:p>
      <w:pPr>
        <w:pStyle w:val="ListParagraph"/>
        <w:numPr>
          <w:ilvl w:val="0"/>
          <w:numId w:val="7"/>
        </w:numPr>
        <w:spacing w:after="80" w:line="282"/>
      </w:pPr>
      <w:r>
        <w:rPr>
          <w:rFonts w:ascii="Calibri" w:cs="Calibri" w:eastAsia="Calibri" w:hAnsi="Calibri"/>
          <w:b/>
          <w:bCs/>
          <w:i w:val="false"/>
          <w:iCs w:val="false"/>
          <w:color w:val="222222"/>
          <w:sz w:val="22"/>
          <w:szCs w:val="22"/>
        </w:rPr>
        <w:t xml:space="preserve">Zero confusion is the bar.</w:t>
      </w:r>
      <w:r>
        <w:rPr>
          <w:rFonts w:ascii="Calibri" w:cs="Calibri" w:eastAsia="Calibri" w:hAnsi="Calibri"/>
          <w:b w:val="false"/>
          <w:bCs w:val="false"/>
          <w:i w:val="false"/>
          <w:iCs w:val="false"/>
          <w:color w:val="222222"/>
          <w:sz w:val="22"/>
          <w:szCs w:val="22"/>
        </w:rPr>
        <w:t xml:space="preserve"> Static 01 and Static 03 both hit 0% confusion. Make it the bar, not “under 20%.”</w:t>
      </w:r>
    </w:p>
    <w:p>
      <w:pPr>
        <w:pStyle w:val="ListParagraph"/>
        <w:numPr>
          <w:ilvl w:val="0"/>
          <w:numId w:val="7"/>
        </w:numPr>
        <w:spacing w:after="80" w:line="282"/>
      </w:pPr>
      <w:r>
        <w:rPr>
          <w:rFonts w:ascii="Calibri" w:cs="Calibri" w:eastAsia="Calibri" w:hAnsi="Calibri"/>
          <w:b/>
          <w:bCs/>
          <w:i w:val="false"/>
          <w:iCs w:val="false"/>
          <w:color w:val="222222"/>
          <w:sz w:val="22"/>
          <w:szCs w:val="22"/>
        </w:rPr>
        <w:t xml:space="preserve">The benchmark is the winner, not the average.</w:t>
      </w:r>
      <w:r>
        <w:rPr>
          <w:rFonts w:ascii="Calibri" w:cs="Calibri" w:eastAsia="Calibri" w:hAnsi="Calibri"/>
          <w:b w:val="false"/>
          <w:bCs w:val="false"/>
          <w:i w:val="false"/>
          <w:iCs w:val="false"/>
          <w:color w:val="222222"/>
          <w:sz w:val="22"/>
          <w:szCs w:val="22"/>
        </w:rPr>
        <w:t xml:space="preserve"> When evaluating any new creative, compare to the best of what we have (Static 01-class), not to an averaged baseline. Improving the average is not the goal; raising the ceiling is.</w:t>
      </w:r>
    </w:p>
    <w:p>
      <w:pPr>
        <w:pStyle w:val="Heading1"/>
        <w:spacing w:after="140" w:before="280"/>
      </w:pPr>
      <w:r>
        <w:rPr>
          <w:rFonts w:ascii="Calibri" w:cs="Calibri" w:eastAsia="Calibri" w:hAnsi="Calibri"/>
          <w:b/>
          <w:bCs/>
          <w:color w:val="443152"/>
          <w:sz w:val="30"/>
          <w:szCs w:val="30"/>
        </w:rPr>
        <w:t xml:space="preserve">8.  How we test every creative</w:t>
      </w:r>
    </w:p>
    <w:p>
      <w:pPr>
        <w:spacing w:after="140" w:before="0" w:line="288"/>
      </w:pPr>
      <w:r>
        <w:rPr>
          <w:rFonts w:ascii="Calibri" w:cs="Calibri" w:eastAsia="Calibri" w:hAnsi="Calibri"/>
          <w:b w:val="false"/>
          <w:bCs w:val="false"/>
          <w:i w:val="false"/>
          <w:iCs w:val="false"/>
          <w:color w:val="222222"/>
          <w:sz w:val="22"/>
          <w:szCs w:val="22"/>
        </w:rPr>
        <w:t xml:space="preserve">Two tests, both mandatory, before any creative scales. Both implement specific Operating Tradeoffs rules — the rules are what makes the tests load-bearing rather than ceremonial.</w:t>
      </w:r>
    </w:p>
    <w:p>
      <w:pPr>
        <w:spacing w:after="80" w:before="160"/>
      </w:pPr>
      <w:r>
        <w:rPr>
          <w:rFonts w:ascii="Calibri" w:cs="Calibri" w:eastAsia="Calibri" w:hAnsi="Calibri"/>
          <w:b/>
          <w:bCs/>
          <w:color w:val="D9008D"/>
          <w:sz w:val="22"/>
          <w:szCs w:val="22"/>
        </w:rPr>
        <w:t xml:space="preserve">Pre-launch — comprehension test  (Rule 2: null hypothesis upfront)</w:t>
      </w:r>
    </w:p>
    <w:p>
      <w:pPr>
        <w:spacing w:after="140" w:before="0" w:line="288"/>
      </w:pPr>
      <w:r>
        <w:rPr>
          <w:rFonts w:ascii="Calibri" w:cs="Calibri" w:eastAsia="Calibri" w:hAnsi="Calibri"/>
          <w:b w:val="false"/>
          <w:bCs w:val="false"/>
          <w:i w:val="false"/>
          <w:iCs w:val="false"/>
          <w:color w:val="222222"/>
          <w:sz w:val="22"/>
          <w:szCs w:val="22"/>
        </w:rPr>
        <w:t xml:space="preserve">Show the creative to a small group (n ≈ 15–20 minimum per creative); ask unaided: </w:t>
      </w:r>
      <w:r>
        <w:rPr>
          <w:rFonts w:ascii="Calibri" w:cs="Calibri" w:eastAsia="Calibri" w:hAnsi="Calibri"/>
          <w:b w:val="false"/>
          <w:bCs w:val="false"/>
          <w:i/>
          <w:iCs/>
          <w:color w:val="222222"/>
          <w:sz w:val="22"/>
          <w:szCs w:val="22"/>
        </w:rPr>
        <w:t xml:space="preserve">“Kis cheez ka ad hai?”</w:t>
      </w:r>
      <w:r>
        <w:rPr>
          <w:rFonts w:ascii="Calibri" w:cs="Calibri" w:eastAsia="Calibri" w:hAnsi="Calibri"/>
          <w:b w:val="false"/>
          <w:bCs w:val="false"/>
          <w:i w:val="false"/>
          <w:iCs w:val="false"/>
          <w:color w:val="222222"/>
          <w:sz w:val="22"/>
          <w:szCs w:val="22"/>
        </w:rPr>
        <w:t xml:space="preserve"> and </w:t>
      </w:r>
      <w:r>
        <w:rPr>
          <w:rFonts w:ascii="Calibri" w:cs="Calibri" w:eastAsia="Calibri" w:hAnsi="Calibri"/>
          <w:b w:val="false"/>
          <w:bCs w:val="false"/>
          <w:i/>
          <w:iCs/>
          <w:color w:val="222222"/>
          <w:sz w:val="22"/>
          <w:szCs w:val="22"/>
        </w:rPr>
        <w:t xml:space="preserve">“Ismein kya alag laga?”</w:t>
      </w:r>
      <w:r>
        <w:rPr>
          <w:rFonts w:ascii="Calibri" w:cs="Calibri" w:eastAsia="Calibri" w:hAnsi="Calibri"/>
          <w:b w:val="false"/>
          <w:bCs w:val="false"/>
          <w:i w:val="false"/>
          <w:iCs w:val="false"/>
          <w:color w:val="222222"/>
          <w:sz w:val="22"/>
          <w:szCs w:val="22"/>
        </w:rPr>
        <w:t xml:space="preserve"> Record:</w:t>
      </w:r>
    </w:p>
    <w:p>
      <w:pPr>
        <w:pStyle w:val="ListParagraph"/>
        <w:numPr>
          <w:ilvl w:val="0"/>
          <w:numId w:val="8"/>
        </w:numPr>
        <w:spacing w:after="80" w:line="282"/>
      </w:pPr>
      <w:r>
        <w:rPr>
          <w:rFonts w:ascii="Calibri" w:cs="Calibri" w:eastAsia="Calibri" w:hAnsi="Calibri"/>
          <w:b w:val="false"/>
          <w:bCs w:val="false"/>
          <w:i w:val="false"/>
          <w:iCs w:val="false"/>
          <w:color w:val="222222"/>
          <w:sz w:val="22"/>
          <w:szCs w:val="22"/>
        </w:rPr>
        <w:t xml:space="preserve">Category-identification rate (Net + WiFi together count as category-correct; the creative says “ghar ka net”)</w:t>
      </w:r>
    </w:p>
    <w:p>
      <w:pPr>
        <w:pStyle w:val="ListParagraph"/>
        <w:numPr>
          <w:ilvl w:val="0"/>
          <w:numId w:val="8"/>
        </w:numPr>
        <w:spacing w:after="80" w:line="282"/>
      </w:pPr>
      <w:r>
        <w:rPr>
          <w:rFonts w:ascii="Calibri" w:cs="Calibri" w:eastAsia="Calibri" w:hAnsi="Calibri"/>
          <w:b w:val="false"/>
          <w:bCs w:val="false"/>
          <w:i w:val="false"/>
          <w:iCs w:val="false"/>
          <w:color w:val="222222"/>
          <w:sz w:val="22"/>
          <w:szCs w:val="22"/>
        </w:rPr>
        <w:t xml:space="preserve">Differentiator-recall rate (does the user remember the flexibility / commitment-shape / family-math, as relevant to layer)</w:t>
      </w:r>
    </w:p>
    <w:p>
      <w:pPr>
        <w:pStyle w:val="ListParagraph"/>
        <w:numPr>
          <w:ilvl w:val="0"/>
          <w:numId w:val="8"/>
        </w:numPr>
        <w:spacing w:after="80" w:line="282"/>
      </w:pPr>
      <w:r>
        <w:rPr>
          <w:rFonts w:ascii="Calibri" w:cs="Calibri" w:eastAsia="Calibri" w:hAnsi="Calibri"/>
          <w:b w:val="false"/>
          <w:bCs w:val="false"/>
          <w:i w:val="false"/>
          <w:iCs w:val="false"/>
          <w:color w:val="222222"/>
          <w:sz w:val="22"/>
          <w:szCs w:val="22"/>
        </w:rPr>
        <w:t xml:space="preserve">Confusion rate (how many cannot place the ad at all)</w:t>
      </w:r>
    </w:p>
    <w:p>
      <w:pPr>
        <w:spacing w:after="140" w:before="0" w:line="288"/>
      </w:pPr>
      <w:r>
        <w:rPr>
          <w:rFonts w:ascii="Calibri" w:cs="Calibri" w:eastAsia="Calibri" w:hAnsi="Calibri"/>
          <w:b/>
          <w:bCs/>
          <w:i w:val="false"/>
          <w:iCs w:val="false"/>
          <w:color w:val="222222"/>
          <w:sz w:val="22"/>
          <w:szCs w:val="22"/>
        </w:rPr>
        <w:t xml:space="preserve">Pass bar: </w:t>
      </w:r>
      <w:r>
        <w:rPr>
          <w:rFonts w:ascii="Calibri" w:cs="Calibri" w:eastAsia="Calibri" w:hAnsi="Calibri"/>
          <w:b w:val="false"/>
          <w:bCs w:val="false"/>
          <w:i w:val="false"/>
          <w:iCs w:val="false"/>
          <w:color w:val="222222"/>
          <w:sz w:val="22"/>
          <w:szCs w:val="22"/>
        </w:rPr>
        <w:t xml:space="preserve">matches or beats Static 01’s structure </w:t>
      </w:r>
      <w:r>
        <w:rPr>
          <w:rFonts w:ascii="Calibri" w:cs="Calibri" w:eastAsia="Calibri" w:hAnsi="Calibri"/>
          <w:b w:val="false"/>
          <w:bCs w:val="false"/>
          <w:i/>
          <w:iCs/>
          <w:color w:val="222222"/>
          <w:sz w:val="22"/>
          <w:szCs w:val="22"/>
        </w:rPr>
        <w:t xml:space="preserve">(~60% category-correct, ~70% differentiator recall, zero confusion)</w:t>
      </w:r>
      <w:r>
        <w:rPr>
          <w:rFonts w:ascii="Calibri" w:cs="Calibri" w:eastAsia="Calibri" w:hAnsi="Calibri"/>
          <w:b w:val="false"/>
          <w:bCs w:val="false"/>
          <w:i w:val="false"/>
          <w:iCs w:val="false"/>
          <w:color w:val="222222"/>
          <w:sz w:val="22"/>
          <w:szCs w:val="22"/>
        </w:rPr>
        <w:t xml:space="preserve">. </w:t>
      </w:r>
      <w:r>
        <w:rPr>
          <w:rFonts w:ascii="Calibri" w:cs="Calibri" w:eastAsia="Calibri" w:hAnsi="Calibri"/>
          <w:b/>
          <w:bCs/>
          <w:i w:val="false"/>
          <w:iCs w:val="false"/>
          <w:color w:val="222222"/>
          <w:sz w:val="22"/>
          <w:szCs w:val="22"/>
        </w:rPr>
        <w:t xml:space="preserve">Pre-set in the brief, non-negotiable after.</w:t>
      </w:r>
      <w:r>
        <w:rPr>
          <w:rFonts w:ascii="Calibri" w:cs="Calibri" w:eastAsia="Calibri" w:hAnsi="Calibri"/>
          <w:b w:val="false"/>
          <w:bCs w:val="false"/>
          <w:i w:val="false"/>
          <w:iCs w:val="false"/>
          <w:color w:val="222222"/>
          <w:sz w:val="22"/>
          <w:szCs w:val="22"/>
        </w:rPr>
        <w:t xml:space="preserve"> Rotate creatives across interviewers so creator skill doesn’t confound the read.</w:t>
      </w:r>
    </w:p>
    <w:p>
      <w:pPr>
        <w:spacing w:after="80" w:before="160"/>
      </w:pPr>
      <w:r>
        <w:rPr>
          <w:rFonts w:ascii="Calibri" w:cs="Calibri" w:eastAsia="Calibri" w:hAnsi="Calibri"/>
          <w:b/>
          <w:bCs/>
          <w:color w:val="D9008D"/>
          <w:sz w:val="22"/>
          <w:szCs w:val="22"/>
        </w:rPr>
        <w:t xml:space="preserve">Post-launch — cohort test  (Rule 6: kill criteria upfront)</w:t>
      </w:r>
    </w:p>
    <w:p>
      <w:pPr>
        <w:spacing w:after="140" w:before="0" w:line="288"/>
      </w:pPr>
      <w:r>
        <w:rPr>
          <w:rFonts w:ascii="Calibri" w:cs="Calibri" w:eastAsia="Calibri" w:hAnsi="Calibri"/>
          <w:b w:val="false"/>
          <w:bCs w:val="false"/>
          <w:i w:val="false"/>
          <w:iCs w:val="false"/>
          <w:color w:val="222222"/>
          <w:sz w:val="22"/>
          <w:szCs w:val="22"/>
        </w:rPr>
        <w:t xml:space="preserve">Every booking carries the tag of the creative that brought it in. Followed downstream for coverage-continuity (per Friction Doctrine §7). </w:t>
      </w:r>
      <w:r>
        <w:rPr>
          <w:rFonts w:ascii="Calibri" w:cs="Calibri" w:eastAsia="Calibri" w:hAnsi="Calibri"/>
          <w:b/>
          <w:bCs/>
          <w:i w:val="false"/>
          <w:iCs w:val="false"/>
          <w:color w:val="222222"/>
          <w:sz w:val="22"/>
          <w:szCs w:val="22"/>
        </w:rPr>
        <w:t xml:space="preserve">The cohort metric is the real test; comprehension is the leading indicator.</w:t>
      </w:r>
      <w:r>
        <w:rPr>
          <w:rFonts w:ascii="Calibri" w:cs="Calibri" w:eastAsia="Calibri" w:hAnsi="Calibri"/>
          <w:b w:val="false"/>
          <w:bCs w:val="false"/>
          <w:i w:val="false"/>
          <w:iCs w:val="false"/>
          <w:color w:val="222222"/>
          <w:sz w:val="22"/>
          <w:szCs w:val="22"/>
        </w:rPr>
        <w:t xml:space="preserve"> A creative that comprehends well but cohort-fails is killed. A creative that comprehends poorly does not reach scale. Kill criteria — specific, measurable — are written in the brief before launch and enforced regardless of in-the-moment feelings.</w:t>
      </w:r>
    </w:p>
    <w:p>
      <w:pPr>
        <w:spacing w:after="80" w:before="160"/>
      </w:pPr>
      <w:r>
        <w:rPr>
          <w:rFonts w:ascii="Calibri" w:cs="Calibri" w:eastAsia="Calibri" w:hAnsi="Calibri"/>
          <w:b/>
          <w:bCs/>
          <w:color w:val="D9008D"/>
          <w:sz w:val="22"/>
          <w:szCs w:val="22"/>
        </w:rPr>
        <w:t xml:space="preserve">Time-boxing the decision  (Rule 9)</w:t>
      </w:r>
    </w:p>
    <w:p>
      <w:pPr>
        <w:spacing w:after="140" w:before="0" w:line="288"/>
      </w:pPr>
      <w:r>
        <w:rPr>
          <w:rFonts w:ascii="Calibri" w:cs="Calibri" w:eastAsia="Calibri" w:hAnsi="Calibri"/>
          <w:b w:val="false"/>
          <w:bCs w:val="false"/>
          <w:i w:val="false"/>
          <w:iCs w:val="false"/>
          <w:color w:val="222222"/>
          <w:sz w:val="22"/>
          <w:szCs w:val="22"/>
        </w:rPr>
        <w:t xml:space="preserve">Every creative test has a </w:t>
      </w:r>
      <w:r>
        <w:rPr>
          <w:rFonts w:ascii="Calibri" w:cs="Calibri" w:eastAsia="Calibri" w:hAnsi="Calibri"/>
          <w:b/>
          <w:bCs/>
          <w:i w:val="false"/>
          <w:iCs w:val="false"/>
          <w:color w:val="222222"/>
          <w:sz w:val="22"/>
          <w:szCs w:val="22"/>
        </w:rPr>
        <w:t xml:space="preserve">decision deadline</w:t>
      </w:r>
      <w:r>
        <w:rPr>
          <w:rFonts w:ascii="Calibri" w:cs="Calibri" w:eastAsia="Calibri" w:hAnsi="Calibri"/>
          <w:b w:val="false"/>
          <w:bCs w:val="false"/>
          <w:i w:val="false"/>
          <w:iCs w:val="false"/>
          <w:color w:val="222222"/>
          <w:sz w:val="22"/>
          <w:szCs w:val="22"/>
        </w:rPr>
        <w:t xml:space="preserve"> written into the brief. By the deadline, the call is made on whatever data exists — scale, kill, or revise — not deferred for “more data.” Without this, comprehension tests run indefinitely and cohort reads get postponed past the point they could change anything.</w:t>
      </w:r>
    </w:p>
    <w:tbl>
      <w:tblPr>
        <w:tblW w:type="dxa" w:w="9360"/>
        <w:tblBorders>
          <w:top w:val="single" w:color="EEF2F7" w:sz="2"/>
          <w:left w:val="single" w:color="5A6B80" w:sz="28"/>
          <w:bottom w:val="single" w:color="EEF2F7" w:sz="2"/>
          <w:right w:val="single" w:color="EEF2F7" w:sz="2"/>
          <w:insideH w:val="single" w:color="auto" w:sz="4"/>
          <w:insideV w:val="single" w:color="auto" w:sz="4"/>
        </w:tblBorders>
      </w:tblPr>
      <w:tblGrid>
        <w:gridCol w:w="9360"/>
      </w:tblGrid>
      <w:tr>
        <w:tc>
          <w:tcPr>
            <w:tcW w:type="dxa" w:w="9360"/>
            <w:shd w:fill="EEF2F7" w:val="clear"/>
            <w:tcMar>
              <w:top w:type="dxa" w:w="120"/>
              <w:left w:type="dxa" w:w="200"/>
              <w:bottom w:type="dxa" w:w="120"/>
              <w:right w:type="dxa" w:w="160"/>
            </w:tcMar>
          </w:tcPr>
          <w:p>
            <w:pPr>
              <w:spacing w:after="60"/>
            </w:pPr>
            <w:r>
              <w:rPr>
                <w:rFonts w:ascii="Calibri" w:cs="Calibri" w:eastAsia="Calibri" w:hAnsi="Calibri"/>
                <w:b/>
                <w:bCs/>
                <w:color w:val="5A6B80"/>
                <w:sz w:val="18"/>
                <w:szCs w:val="18"/>
              </w:rPr>
              <w:t xml:space="preserve">BRIEF DISCIPLINE</w:t>
            </w:r>
          </w:p>
          <w:p>
            <w:pPr>
              <w:spacing w:after="0" w:line="282"/>
            </w:pPr>
            <w:r>
              <w:rPr>
                <w:rFonts w:ascii="Calibri" w:cs="Calibri" w:eastAsia="Calibri" w:hAnsi="Calibri"/>
                <w:b w:val="false"/>
                <w:bCs w:val="false"/>
                <w:i w:val="false"/>
                <w:iCs w:val="false"/>
                <w:color w:val="222222"/>
                <w:sz w:val="21"/>
                <w:szCs w:val="21"/>
              </w:rPr>
              <w:t xml:space="preserve">Every new creative starts with a brief in the </w:t>
            </w:r>
            <w:r>
              <w:rPr>
                <w:rFonts w:ascii="Calibri" w:cs="Calibri" w:eastAsia="Calibri" w:hAnsi="Calibri"/>
                <w:b/>
                <w:bCs/>
                <w:i w:val="false"/>
                <w:iCs w:val="false"/>
                <w:color w:val="222222"/>
                <w:sz w:val="21"/>
                <w:szCs w:val="21"/>
              </w:rPr>
              <w:t xml:space="preserve">Decision Brief Template v1.1</w:t>
            </w:r>
            <w:r>
              <w:rPr>
                <w:rFonts w:ascii="Calibri" w:cs="Calibri" w:eastAsia="Calibri" w:hAnsi="Calibri"/>
                <w:b w:val="false"/>
                <w:bCs w:val="false"/>
                <w:i w:val="false"/>
                <w:iCs w:val="false"/>
                <w:color w:val="222222"/>
                <w:sz w:val="21"/>
                <w:szCs w:val="21"/>
              </w:rPr>
              <w:t xml:space="preserve"> — carrying the comprehension pass bar (Rule 2), the cohort kill criteria (Rule 6), the decision deadline (Rule 9), the asymmetric bet shape (Rule 12), and the layer this serves. Reviewers fail briefs that miss any of these.</w:t>
            </w:r>
          </w:p>
        </w:tc>
      </w:tr>
    </w:tbl>
    <w:p>
      <w:pPr>
        <w:pStyle w:val="Heading1"/>
        <w:spacing w:after="140" w:before="280"/>
      </w:pPr>
      <w:r>
        <w:rPr>
          <w:rFonts w:ascii="Calibri" w:cs="Calibri" w:eastAsia="Calibri" w:hAnsi="Calibri"/>
          <w:b/>
          <w:bCs/>
          <w:color w:val="443152"/>
          <w:sz w:val="30"/>
          <w:szCs w:val="30"/>
        </w:rPr>
        <w:t xml:space="preserve">9.  How this connects, what’s locked, what’s being learned</w:t>
      </w:r>
    </w:p>
    <w:p>
      <w:pPr>
        <w:spacing w:after="80" w:before="160"/>
      </w:pPr>
      <w:r>
        <w:rPr>
          <w:rFonts w:ascii="Calibri" w:cs="Calibri" w:eastAsia="Calibri" w:hAnsi="Calibri"/>
          <w:b/>
          <w:bCs/>
          <w:color w:val="D9008D"/>
          <w:sz w:val="22"/>
          <w:szCs w:val="22"/>
        </w:rPr>
        <w:t xml:space="preserve">Connections</w:t>
      </w:r>
    </w:p>
    <w:p>
      <w:pPr>
        <w:pStyle w:val="ListParagraph"/>
        <w:numPr>
          <w:ilvl w:val="0"/>
          <w:numId w:val="5"/>
        </w:numPr>
        <w:spacing w:after="80" w:line="282"/>
      </w:pPr>
      <w:r>
        <w:rPr>
          <w:rFonts w:ascii="Calibri" w:cs="Calibri" w:eastAsia="Calibri" w:hAnsi="Calibri"/>
          <w:b/>
          <w:bCs/>
          <w:i w:val="false"/>
          <w:iCs w:val="false"/>
          <w:color w:val="222222"/>
          <w:sz w:val="22"/>
          <w:szCs w:val="22"/>
        </w:rPr>
        <w:t xml:space="preserve">Wiom 0-to-1 Operating Tradeoffs v1.0</w:t>
      </w:r>
      <w:r>
        <w:rPr>
          <w:rFonts w:ascii="Calibri" w:cs="Calibri" w:eastAsia="Calibri" w:hAnsi="Calibri"/>
          <w:b w:val="false"/>
          <w:bCs w:val="false"/>
          <w:i w:val="false"/>
          <w:iCs w:val="false"/>
          <w:color w:val="222222"/>
          <w:sz w:val="22"/>
          <w:szCs w:val="22"/>
        </w:rPr>
        <w:t xml:space="preserve"> — the foundational operating discipline this manual lives inside. §8 implements Rules 2 (null hypothesis upfront), 6 (kill criteria upfront), 9 (time-box decision).</w:t>
      </w:r>
    </w:p>
    <w:p>
      <w:pPr>
        <w:pStyle w:val="ListParagraph"/>
        <w:numPr>
          <w:ilvl w:val="0"/>
          <w:numId w:val="5"/>
        </w:numPr>
        <w:spacing w:after="80" w:line="282"/>
      </w:pPr>
      <w:r>
        <w:rPr>
          <w:rFonts w:ascii="Calibri" w:cs="Calibri" w:eastAsia="Calibri" w:hAnsi="Calibri"/>
          <w:b/>
          <w:bCs/>
          <w:i w:val="false"/>
          <w:iCs w:val="false"/>
          <w:color w:val="222222"/>
          <w:sz w:val="22"/>
          <w:szCs w:val="22"/>
        </w:rPr>
        <w:t xml:space="preserve">Decision Brief Template v1.1</w:t>
      </w:r>
      <w:r>
        <w:rPr>
          <w:rFonts w:ascii="Calibri" w:cs="Calibri" w:eastAsia="Calibri" w:hAnsi="Calibri"/>
          <w:b w:val="false"/>
          <w:bCs w:val="false"/>
          <w:i w:val="false"/>
          <w:iCs w:val="false"/>
          <w:color w:val="222222"/>
          <w:sz w:val="22"/>
          <w:szCs w:val="22"/>
        </w:rPr>
        <w:t xml:space="preserve"> — every creative starts with a brief. Reviewer (Karishni) fails briefs that miss pre-set pass bar, kill criteria, decision deadline, bet shape, or named assumptions.</w:t>
      </w:r>
    </w:p>
    <w:p>
      <w:pPr>
        <w:pStyle w:val="ListParagraph"/>
        <w:numPr>
          <w:ilvl w:val="0"/>
          <w:numId w:val="5"/>
        </w:numPr>
        <w:spacing w:after="80" w:line="282"/>
      </w:pPr>
      <w:r>
        <w:rPr>
          <w:rFonts w:ascii="Calibri" w:cs="Calibri" w:eastAsia="Calibri" w:hAnsi="Calibri"/>
          <w:b/>
          <w:bCs/>
          <w:i w:val="false"/>
          <w:iCs w:val="false"/>
          <w:color w:val="222222"/>
          <w:sz w:val="22"/>
          <w:szCs w:val="22"/>
        </w:rPr>
        <w:t xml:space="preserve">Wiom Contrast Doctrine v2.1</w:t>
      </w:r>
      <w:r>
        <w:rPr>
          <w:rFonts w:ascii="Calibri" w:cs="Calibri" w:eastAsia="Calibri" w:hAnsi="Calibri"/>
          <w:b w:val="false"/>
          <w:bCs w:val="false"/>
          <w:i w:val="false"/>
          <w:iCs w:val="false"/>
          <w:color w:val="222222"/>
          <w:sz w:val="22"/>
          <w:szCs w:val="22"/>
        </w:rPr>
        <w:t xml:space="preserve"> — governs contrast usage across all three layers: L1 category contrast (permitted/forbidden patterns §6A, destination test §5A); L2 commitment-shape contrast (§6B, §5B); L3 mobile-recharge contrast (§6C, §5C) with the “net as destination noun” safety rule. Reviewer checks the appropriate destination test on every brief.</w:t>
      </w:r>
    </w:p>
    <w:p>
      <w:pPr>
        <w:pStyle w:val="ListParagraph"/>
        <w:numPr>
          <w:ilvl w:val="0"/>
          <w:numId w:val="5"/>
        </w:numPr>
        <w:spacing w:after="80" w:line="282"/>
      </w:pPr>
      <w:r>
        <w:rPr>
          <w:rFonts w:ascii="Calibri" w:cs="Calibri" w:eastAsia="Calibri" w:hAnsi="Calibri"/>
          <w:b/>
          <w:bCs/>
          <w:i w:val="false"/>
          <w:iCs w:val="false"/>
          <w:color w:val="222222"/>
          <w:sz w:val="22"/>
          <w:szCs w:val="22"/>
        </w:rPr>
        <w:t xml:space="preserve">Activation Framework v1.4</w:t>
      </w:r>
      <w:r>
        <w:rPr>
          <w:rFonts w:ascii="Calibri" w:cs="Calibri" w:eastAsia="Calibri" w:hAnsi="Calibri"/>
          <w:b w:val="false"/>
          <w:bCs w:val="false"/>
          <w:i w:val="false"/>
          <w:iCs w:val="false"/>
          <w:color w:val="222222"/>
          <w:sz w:val="22"/>
          <w:szCs w:val="22"/>
        </w:rPr>
        <w:t xml:space="preserve"> — the strategic frame this manual operationalises.</w:t>
      </w:r>
    </w:p>
    <w:p>
      <w:pPr>
        <w:pStyle w:val="ListParagraph"/>
        <w:numPr>
          <w:ilvl w:val="0"/>
          <w:numId w:val="5"/>
        </w:numPr>
        <w:spacing w:after="80" w:line="282"/>
      </w:pPr>
      <w:r>
        <w:rPr>
          <w:rFonts w:ascii="Calibri" w:cs="Calibri" w:eastAsia="Calibri" w:hAnsi="Calibri"/>
          <w:b/>
          <w:bCs/>
          <w:i w:val="false"/>
          <w:iCs w:val="false"/>
          <w:color w:val="222222"/>
          <w:sz w:val="22"/>
          <w:szCs w:val="22"/>
        </w:rPr>
        <w:t xml:space="preserve">Friction Doctrine v1.1 + Experiment Plan v1.0</w:t>
      </w:r>
      <w:r>
        <w:rPr>
          <w:rFonts w:ascii="Calibri" w:cs="Calibri" w:eastAsia="Calibri" w:hAnsi="Calibri"/>
          <w:b w:val="false"/>
          <w:bCs w:val="false"/>
          <w:i w:val="false"/>
          <w:iCs w:val="false"/>
          <w:color w:val="222222"/>
          <w:sz w:val="22"/>
          <w:szCs w:val="22"/>
        </w:rPr>
        <w:t xml:space="preserve"> — the back-end conditions; the booking surface and the recharge gate.</w:t>
      </w:r>
    </w:p>
    <w:p>
      <w:pPr>
        <w:pStyle w:val="ListParagraph"/>
        <w:numPr>
          <w:ilvl w:val="0"/>
          <w:numId w:val="5"/>
        </w:numPr>
        <w:spacing w:after="80" w:line="282"/>
      </w:pPr>
      <w:r>
        <w:rPr>
          <w:rFonts w:ascii="Calibri" w:cs="Calibri" w:eastAsia="Calibri" w:hAnsi="Calibri"/>
          <w:b/>
          <w:bCs/>
          <w:i w:val="false"/>
          <w:iCs w:val="false"/>
          <w:color w:val="222222"/>
          <w:sz w:val="22"/>
          <w:szCs w:val="22"/>
        </w:rPr>
        <w:t xml:space="preserve">Shiva’s gates / Constitution</w:t>
      </w:r>
      <w:r>
        <w:rPr>
          <w:rFonts w:ascii="Calibri" w:cs="Calibri" w:eastAsia="Calibri" w:hAnsi="Calibri"/>
          <w:b w:val="false"/>
          <w:bCs w:val="false"/>
          <w:i w:val="false"/>
          <w:iCs w:val="false"/>
          <w:color w:val="222222"/>
          <w:sz w:val="22"/>
          <w:szCs w:val="22"/>
        </w:rPr>
        <w:t xml:space="preserve"> — every creative passes the gates before media; non-negotiable, especially for L1 where contamination risk is highest.</w:t>
      </w:r>
    </w:p>
    <w:p>
      <w:pPr>
        <w:pStyle w:val="ListParagraph"/>
        <w:numPr>
          <w:ilvl w:val="0"/>
          <w:numId w:val="5"/>
        </w:numPr>
        <w:spacing w:after="80" w:line="282"/>
      </w:pPr>
      <w:r>
        <w:rPr>
          <w:rFonts w:ascii="Calibri" w:cs="Calibri" w:eastAsia="Calibri" w:hAnsi="Calibri"/>
          <w:b/>
          <w:bCs/>
          <w:i w:val="false"/>
          <w:iCs w:val="false"/>
          <w:color w:val="222222"/>
          <w:sz w:val="22"/>
          <w:szCs w:val="22"/>
        </w:rPr>
        <w:t xml:space="preserve">Command Center kill-override</w:t>
      </w:r>
      <w:r>
        <w:rPr>
          <w:rFonts w:ascii="Calibri" w:cs="Calibri" w:eastAsia="Calibri" w:hAnsi="Calibri"/>
          <w:b w:val="false"/>
          <w:bCs w:val="false"/>
          <w:i w:val="false"/>
          <w:iCs w:val="false"/>
          <w:color w:val="222222"/>
          <w:sz w:val="22"/>
          <w:szCs w:val="22"/>
        </w:rPr>
        <w:t xml:space="preserve"> — cohort signal can kill any creative at any time, regardless of comprehension performance.</w:t>
      </w:r>
    </w:p>
    <w:p>
      <w:pPr>
        <w:pStyle w:val="ListParagraph"/>
        <w:numPr>
          <w:ilvl w:val="0"/>
          <w:numId w:val="5"/>
        </w:numPr>
        <w:spacing w:after="80" w:line="282"/>
      </w:pPr>
      <w:r>
        <w:rPr>
          <w:rFonts w:ascii="Calibri" w:cs="Calibri" w:eastAsia="Calibri" w:hAnsi="Calibri"/>
          <w:b/>
          <w:bCs/>
          <w:i w:val="false"/>
          <w:iCs w:val="false"/>
          <w:color w:val="222222"/>
          <w:sz w:val="22"/>
          <w:szCs w:val="22"/>
        </w:rPr>
        <w:t xml:space="preserve">Bob’s messaging system</w:t>
      </w:r>
      <w:r>
        <w:rPr>
          <w:rFonts w:ascii="Calibri" w:cs="Calibri" w:eastAsia="Calibri" w:hAnsi="Calibri"/>
          <w:b w:val="false"/>
          <w:bCs w:val="false"/>
          <w:i w:val="false"/>
          <w:iCs w:val="false"/>
          <w:color w:val="222222"/>
          <w:sz w:val="22"/>
          <w:szCs w:val="22"/>
        </w:rPr>
        <w:t xml:space="preserve"> — for need-aware households; out of scope here.</w:t>
      </w:r>
    </w:p>
    <w:p>
      <w:pPr>
        <w:spacing w:after="80" w:before="160"/>
      </w:pPr>
      <w:r>
        <w:rPr>
          <w:rFonts w:ascii="Calibri" w:cs="Calibri" w:eastAsia="Calibri" w:hAnsi="Calibri"/>
          <w:b/>
          <w:bCs/>
          <w:color w:val="D9008D"/>
          <w:sz w:val="22"/>
          <w:szCs w:val="22"/>
        </w:rPr>
        <w:t xml:space="preserve">Locked</w:t>
      </w:r>
    </w:p>
    <w:p>
      <w:pPr>
        <w:pStyle w:val="ListParagraph"/>
        <w:numPr>
          <w:ilvl w:val="0"/>
          <w:numId w:val="6"/>
        </w:numPr>
        <w:spacing w:after="80" w:line="282"/>
      </w:pPr>
      <w:r>
        <w:rPr>
          <w:rFonts w:ascii="Calibri" w:cs="Calibri" w:eastAsia="Calibri" w:hAnsi="Calibri"/>
          <w:b w:val="false"/>
          <w:bCs w:val="false"/>
          <w:i w:val="false"/>
          <w:iCs w:val="false"/>
          <w:color w:val="222222"/>
          <w:sz w:val="22"/>
          <w:szCs w:val="22"/>
        </w:rPr>
        <w:t xml:space="preserve">Three layers: L1 (Ready buyer), L2 (Blocked buyer), L3 (Workaround pain). No others.</w:t>
      </w:r>
    </w:p>
    <w:p>
      <w:pPr>
        <w:pStyle w:val="ListParagraph"/>
        <w:numPr>
          <w:ilvl w:val="0"/>
          <w:numId w:val="6"/>
        </w:numPr>
        <w:spacing w:after="80" w:line="282"/>
      </w:pPr>
      <w:r>
        <w:rPr>
          <w:rFonts w:ascii="Calibri" w:cs="Calibri" w:eastAsia="Calibri" w:hAnsi="Calibri"/>
          <w:b w:val="false"/>
          <w:bCs w:val="false"/>
          <w:i w:val="false"/>
          <w:iCs w:val="false"/>
          <w:color w:val="222222"/>
          <w:sz w:val="22"/>
          <w:szCs w:val="22"/>
        </w:rPr>
        <w:t xml:space="preserve">The objective and differentiator per layer.</w:t>
      </w:r>
    </w:p>
    <w:p>
      <w:pPr>
        <w:pStyle w:val="ListParagraph"/>
        <w:numPr>
          <w:ilvl w:val="0"/>
          <w:numId w:val="6"/>
        </w:numPr>
        <w:spacing w:after="80" w:line="282"/>
      </w:pPr>
      <w:r>
        <w:rPr>
          <w:rFonts w:ascii="Calibri" w:cs="Calibri" w:eastAsia="Calibri" w:hAnsi="Calibri"/>
          <w:b w:val="false"/>
          <w:bCs w:val="false"/>
          <w:i w:val="false"/>
          <w:iCs w:val="false"/>
          <w:color w:val="222222"/>
          <w:sz w:val="22"/>
          <w:szCs w:val="22"/>
        </w:rPr>
        <w:t xml:space="preserve">The universal load (recharge → mobile schema) — every creative handles it.</w:t>
      </w:r>
    </w:p>
    <w:p>
      <w:pPr>
        <w:pStyle w:val="ListParagraph"/>
        <w:numPr>
          <w:ilvl w:val="0"/>
          <w:numId w:val="6"/>
        </w:numPr>
        <w:spacing w:after="80" w:line="282"/>
      </w:pPr>
      <w:r>
        <w:rPr>
          <w:rFonts w:ascii="Calibri" w:cs="Calibri" w:eastAsia="Calibri" w:hAnsi="Calibri"/>
          <w:b w:val="false"/>
          <w:bCs w:val="false"/>
          <w:i w:val="false"/>
          <w:iCs w:val="false"/>
          <w:color w:val="222222"/>
          <w:sz w:val="22"/>
          <w:szCs w:val="22"/>
        </w:rPr>
        <w:t xml:space="preserve">The pre-launch comprehension test (Rule 2) and post-launch cohort test (Rule 6), with decision deadline per Rule 9.</w:t>
      </w:r>
    </w:p>
    <w:p>
      <w:pPr>
        <w:pStyle w:val="ListParagraph"/>
        <w:numPr>
          <w:ilvl w:val="0"/>
          <w:numId w:val="6"/>
        </w:numPr>
        <w:spacing w:after="80" w:line="282"/>
      </w:pPr>
      <w:r>
        <w:rPr>
          <w:rFonts w:ascii="Calibri" w:cs="Calibri" w:eastAsia="Calibri" w:hAnsi="Calibri"/>
          <w:b w:val="false"/>
          <w:bCs w:val="false"/>
          <w:i w:val="false"/>
          <w:iCs w:val="false"/>
          <w:color w:val="222222"/>
          <w:sz w:val="22"/>
          <w:szCs w:val="22"/>
        </w:rPr>
        <w:t xml:space="preserve">The craft rules from §7 — rules, not preferences.</w:t>
      </w:r>
    </w:p>
    <w:p>
      <w:pPr>
        <w:spacing w:after="80" w:before="160"/>
      </w:pPr>
      <w:r>
        <w:rPr>
          <w:rFonts w:ascii="Calibri" w:cs="Calibri" w:eastAsia="Calibri" w:hAnsi="Calibri"/>
          <w:b/>
          <w:bCs/>
          <w:color w:val="D9008D"/>
          <w:sz w:val="22"/>
          <w:szCs w:val="22"/>
        </w:rPr>
        <w:t xml:space="preserve">Being learned through June</w:t>
      </w:r>
    </w:p>
    <w:p>
      <w:pPr>
        <w:pStyle w:val="ListParagraph"/>
        <w:numPr>
          <w:ilvl w:val="0"/>
          <w:numId w:val="7"/>
        </w:numPr>
        <w:spacing w:after="80" w:line="282"/>
      </w:pPr>
      <w:r>
        <w:rPr>
          <w:rFonts w:ascii="Calibri" w:cs="Calibri" w:eastAsia="Calibri" w:hAnsi="Calibri"/>
          <w:b w:val="false"/>
          <w:bCs w:val="false"/>
          <w:i w:val="false"/>
          <w:iCs w:val="false"/>
          <w:color w:val="222222"/>
          <w:sz w:val="22"/>
          <w:szCs w:val="22"/>
        </w:rPr>
        <w:t xml:space="preserve">Whether L2 is in fact the highest coverage-continuity cohort (the natively-fit hypothesis).</w:t>
      </w:r>
    </w:p>
    <w:p>
      <w:pPr>
        <w:pStyle w:val="ListParagraph"/>
        <w:numPr>
          <w:ilvl w:val="0"/>
          <w:numId w:val="7"/>
        </w:numPr>
        <w:spacing w:after="80" w:line="282"/>
      </w:pPr>
      <w:r>
        <w:rPr>
          <w:rFonts w:ascii="Calibri" w:cs="Calibri" w:eastAsia="Calibri" w:hAnsi="Calibri"/>
          <w:b w:val="false"/>
          <w:bCs w:val="false"/>
          <w:i w:val="false"/>
          <w:iCs w:val="false"/>
          <w:color w:val="222222"/>
          <w:sz w:val="22"/>
          <w:szCs w:val="22"/>
        </w:rPr>
        <w:t xml:space="preserve">Whether L3 converts cleanly inside shared optimisation, or needs separate engagement-event treatment.</w:t>
      </w:r>
    </w:p>
    <w:p>
      <w:pPr>
        <w:pStyle w:val="ListParagraph"/>
        <w:numPr>
          <w:ilvl w:val="0"/>
          <w:numId w:val="7"/>
        </w:numPr>
        <w:spacing w:after="80" w:line="282"/>
      </w:pPr>
      <w:r>
        <w:rPr>
          <w:rFonts w:ascii="Calibri" w:cs="Calibri" w:eastAsia="Calibri" w:hAnsi="Calibri"/>
          <w:b w:val="false"/>
          <w:bCs w:val="false"/>
          <w:i w:val="false"/>
          <w:iCs w:val="false"/>
          <w:color w:val="222222"/>
          <w:sz w:val="22"/>
          <w:szCs w:val="22"/>
        </w:rPr>
        <w:t xml:space="preserve">Which specific household realities inside each layer predict best recharge-continuity — the real strategic asset.</w:t>
      </w:r>
    </w:p>
    <w:p>
      <w:pPr>
        <w:spacing w:after="80"/>
      </w:pPr>
    </w:p>
    <w:p>
      <w:pPr>
        <w:spacing w:after="140" w:before="0" w:line="288"/>
      </w:pPr>
      <w:r>
        <w:rPr>
          <w:rFonts w:ascii="Calibri" w:cs="Calibri" w:eastAsia="Calibri" w:hAnsi="Calibri"/>
          <w:b w:val="false"/>
          <w:bCs w:val="false"/>
          <w:i/>
          <w:iCs/>
          <w:color w:val="5A6B80"/>
          <w:sz w:val="21"/>
          <w:szCs w:val="21"/>
        </w:rPr>
        <w:t xml:space="preserve">Bump version on any change to the layer objectives, differentiators, must-not-do lists, or craft rules. Refinements to wording or examples may live in v1.x; structural locks require v2.0.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D9008D"/>
      </w:rPr>
    </w:lvl>
  </w:abstractNum>
  <w:abstractNum w:abstractNumId="3" w15:restartNumberingAfterBreak="0">
    <w:multiLevelType w:val="hybridMultilevel"/>
    <w:lvl w:ilvl="0" w15:tentative="1">
      <w:start w:val="1"/>
      <w:numFmt w:val="bullet"/>
      <w:lvlText w:val="•"/>
      <w:lvlJc w:val="left"/>
      <w:pPr>
        <w:ind w:left="460" w:hanging="260"/>
      </w:pPr>
      <w:rPr>
        <w:color w:val="D9008D"/>
      </w:rPr>
    </w:lvl>
  </w:abstractNum>
  <w:abstractNum w:abstractNumId="4" w15:restartNumberingAfterBreak="0">
    <w:multiLevelType w:val="hybridMultilevel"/>
    <w:lvl w:ilvl="0" w15:tentative="1">
      <w:start w:val="1"/>
      <w:numFmt w:val="bullet"/>
      <w:lvlText w:val="•"/>
      <w:lvlJc w:val="left"/>
      <w:pPr>
        <w:ind w:left="460" w:hanging="260"/>
      </w:pPr>
      <w:rPr>
        <w:color w:val="D9008D"/>
      </w:rPr>
    </w:lvl>
  </w:abstractNum>
  <w:abstractNum w:abstractNumId="5" w15:restartNumberingAfterBreak="0">
    <w:multiLevelType w:val="hybridMultilevel"/>
    <w:lvl w:ilvl="0" w15:tentative="1">
      <w:start w:val="1"/>
      <w:numFmt w:val="bullet"/>
      <w:lvlText w:val="•"/>
      <w:lvlJc w:val="left"/>
      <w:pPr>
        <w:ind w:left="460" w:hanging="260"/>
      </w:pPr>
      <w:rPr>
        <w:color w:val="D9008D"/>
      </w:rPr>
    </w:lvl>
  </w:abstractNum>
  <w:abstractNum w:abstractNumId="6" w15:restartNumberingAfterBreak="0">
    <w:multiLevelType w:val="hybridMultilevel"/>
    <w:lvl w:ilvl="0" w15:tentative="1">
      <w:start w:val="1"/>
      <w:numFmt w:val="bullet"/>
      <w:lvlText w:val="•"/>
      <w:lvlJc w:val="left"/>
      <w:pPr>
        <w:ind w:left="460" w:hanging="260"/>
      </w:pPr>
      <w:rPr>
        <w:color w:val="D9008D"/>
      </w:rPr>
    </w:lvl>
  </w:abstractNum>
  <w:abstractNum w:abstractNumId="7" w15:restartNumberingAfterBreak="0">
    <w:multiLevelType w:val="hybridMultilevel"/>
    <w:lvl w:ilvl="0" w15:tentative="1">
      <w:start w:val="1"/>
      <w:numFmt w:val="bullet"/>
      <w:lvlText w:val="•"/>
      <w:lvlJc w:val="left"/>
      <w:pPr>
        <w:ind w:left="460" w:hanging="260"/>
      </w:pPr>
      <w:rPr>
        <w:color w:val="D9008D"/>
      </w:rPr>
    </w:lvl>
  </w:abstractNum>
  <w:abstractNum w:abstractNumId="8" w15:restartNumberingAfterBreak="0">
    <w:multiLevelType w:val="hybridMultilevel"/>
    <w:lvl w:ilvl="0" w15:tentative="1">
      <w:start w:val="1"/>
      <w:numFmt w:val="decimal"/>
      <w:lvlText w:val="%1."/>
      <w:lvlJc w:val="left"/>
      <w:pPr>
        <w:ind w:left="460" w:hanging="260"/>
      </w:pPr>
    </w:lvl>
  </w:abstractNum>
  <w:abstractNum w:abstractNumId="9" w15:restartNumberingAfterBreak="0">
    <w:multiLevelType w:val="hybridMultilevel"/>
    <w:lvl w:ilvl="0" w15:tentative="1">
      <w:start w:val="1"/>
      <w:numFmt w:val="decimal"/>
      <w:lvlText w:val="%1."/>
      <w:lvlJc w:val="left"/>
      <w:pPr>
        <w:ind w:left="460" w:hanging="260"/>
      </w:pPr>
    </w:lvl>
  </w:abstractNum>
  <w:abstractNum w:abstractNumId="10" w15:restartNumberingAfterBreak="0">
    <w:multiLevelType w:val="hybridMultilevel"/>
    <w:lvl w:ilvl="0" w15:tentative="1">
      <w:start w:val="1"/>
      <w:numFmt w:val="decimal"/>
      <w:lvlText w:val="%1."/>
      <w:lvlJc w:val="left"/>
      <w:pPr>
        <w:ind w:left="460" w:hanging="260"/>
      </w:pPr>
    </w:lvl>
  </w:abstractNum>
  <w:abstractNum w:abstractNumId="11" w15:restartNumberingAfterBreak="0">
    <w:multiLevelType w:val="hybridMultilevel"/>
    <w:lvl w:ilvl="0" w15:tentative="1">
      <w:start w:val="1"/>
      <w:numFmt w:val="decimal"/>
      <w:lvlText w:val="%1."/>
      <w:lvlJc w:val="left"/>
      <w:pPr>
        <w:ind w:left="460" w:hanging="260"/>
      </w:pPr>
    </w:lvl>
  </w:abstractNum>
  <w:abstractNum w:abstractNumId="12"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8"/>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443152"/>
      <w:sz w:val="30"/>
      <w:szCs w:val="30"/>
    </w:rPr>
  </w:style>
  <w:style w:type="paragraph" w:styleId="Heading2">
    <w:name w:val="Heading 2"/>
    <w:basedOn w:val="Normal"/>
    <w:next w:val="Normal"/>
    <w:qFormat/>
    <w:pPr>
      <w:spacing w:after="110" w:before="220"/>
      <w:outlineLvl w:val="1"/>
    </w:pPr>
    <w:rPr>
      <w:rFonts w:ascii="Calibri" w:cs="Calibri" w:eastAsia="Calibri" w:hAnsi="Calibri"/>
      <w:b/>
      <w:bCs/>
      <w:color w:val="44315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2026-05-29T07:55:12.605Z</dcterms:created>
  <dcterms:modified xsi:type="dcterms:W3CDTF">2026-05-29T07:55:12.606Z</dcterms:modified>
</cp:coreProperties>
</file>

<file path=docProps/custom.xml><?xml version="1.0" encoding="utf-8"?>
<Properties xmlns="http://schemas.openxmlformats.org/officeDocument/2006/custom-properties" xmlns:vt="http://schemas.openxmlformats.org/officeDocument/2006/docPropsVTypes"/>
</file>