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t xml:space="preserve"/>
      </w:r>
    </w:p>
    <w:p>
      <w:pPr>
        <w:spacing w:after="40" w:before="100"/>
      </w:pPr>
      <w:r>
        <w:rPr>
          <w:rFonts w:ascii="Calibri" w:cs="Calibri" w:eastAsia="Calibri" w:hAnsi="Calibri"/>
          <w:b/>
          <w:bCs/>
          <w:color w:val="443152"/>
          <w:sz w:val="46"/>
          <w:szCs w:val="46"/>
        </w:rPr>
        <w:t xml:space="preserve">Category Reset — Outreach Journey So Far</w:t>
      </w:r>
    </w:p>
    <w:p>
      <w:pPr>
        <w:spacing w:after="280" w:before="0"/>
      </w:pPr>
      <w:r>
        <w:rPr>
          <w:rFonts w:ascii="Calibri" w:cs="Calibri" w:eastAsia="Calibri" w:hAnsi="Calibri"/>
          <w:b/>
          <w:bCs/>
          <w:color w:val="D9008D"/>
          <w:sz w:val="28"/>
          <w:szCs w:val="28"/>
        </w:rPr>
        <w:t xml:space="preserve">Annexure to the Category Reset Context Note</w:t>
      </w:r>
    </w:p>
    <w:p>
      <w:pPr>
        <w:spacing w:after="600" w:before="0"/>
      </w:pPr>
      <w:r>
        <w:rPr>
          <w:rFonts w:ascii="Calibri" w:cs="Calibri" w:eastAsia="Calibri" w:hAnsi="Calibri"/>
          <w:i/>
          <w:iCs/>
          <w:color w:val="443152"/>
          <w:sz w:val="24"/>
          <w:szCs w:val="24"/>
        </w:rPr>
        <w:t xml:space="preserve">This is not a media-performance report. It is a category-learning summary — what we tried, what we learned, what to carry forward, and what not to repeat.</w:t>
      </w:r>
    </w:p>
    <w:p>
      <w:pPr>
        <w:pBdr>
          <w:bottom w:val="single" w:color="D0D7DE" w:sz="6" w:space="1"/>
        </w:pBdr>
        <w:spacing w:after="80" w:before="80"/>
      </w:pPr>
      <w:r>
        <w:t xml:space="preserve"/>
      </w:r>
    </w:p>
    <w:p>
      <w:pPr>
        <w:spacing w:after="80" w:before="200"/>
      </w:pPr>
      <w:r>
        <w:rPr>
          <w:rFonts w:ascii="Calibri" w:cs="Calibri" w:eastAsia="Calibri" w:hAnsi="Calibri"/>
          <w:color w:val="5A6B80"/>
          <w:sz w:val="20"/>
          <w:szCs w:val="20"/>
        </w:rPr>
        <w:t xml:space="preserve">For: </w:t>
      </w:r>
      <w:r>
        <w:rPr>
          <w:rFonts w:ascii="Calibri" w:cs="Calibri" w:eastAsia="Calibri" w:hAnsi="Calibri"/>
          <w:b/>
          <w:bCs/>
          <w:color w:val="5A6B80"/>
          <w:sz w:val="20"/>
          <w:szCs w:val="20"/>
        </w:rPr>
        <w:t xml:space="preserve">Growth, Brand, Creative, Product, Ops</w:t>
      </w:r>
    </w:p>
    <w:p>
      <w:pPr>
        <w:spacing w:before="0"/>
      </w:pPr>
      <w:r>
        <w:rPr>
          <w:rFonts w:ascii="Calibri" w:cs="Calibri" w:eastAsia="Calibri" w:hAnsi="Calibri"/>
          <w:color w:val="5A6B80"/>
          <w:sz w:val="20"/>
          <w:szCs w:val="20"/>
        </w:rPr>
        <w:t xml:space="preserve">Reads with: </w:t>
      </w:r>
      <w:r>
        <w:rPr>
          <w:rFonts w:ascii="Calibri" w:cs="Calibri" w:eastAsia="Calibri" w:hAnsi="Calibri"/>
          <w:b/>
          <w:bCs/>
          <w:color w:val="5A6B80"/>
          <w:sz w:val="20"/>
          <w:szCs w:val="20"/>
        </w:rPr>
        <w:t xml:space="preserve">Wiom Category Reset — Context Note for Team</w:t>
      </w:r>
    </w:p>
    <w:p>
      <w:r>
        <w:br w:type="page"/>
      </w:r>
    </w:p>
    <w:p>
      <w:pPr>
        <w:pStyle w:val="Heading1"/>
        <w:spacing w:after="200" w:before="360"/>
      </w:pPr>
      <w:r>
        <w:rPr>
          <w:rFonts w:ascii="Calibri" w:cs="Calibri" w:eastAsia="Calibri" w:hAnsi="Calibri"/>
          <w:b/>
          <w:bCs/>
          <w:color w:val="443152"/>
          <w:sz w:val="34"/>
          <w:szCs w:val="34"/>
        </w:rPr>
        <w:t xml:space="preserve">Why read this</w:t>
      </w:r>
    </w:p>
    <w:p>
      <w:pPr>
        <w:spacing w:after="100" w:before="100" w:line="320"/>
      </w:pPr>
      <w:r>
        <w:rPr>
          <w:rFonts w:ascii="Calibri" w:cs="Calibri" w:eastAsia="Calibri" w:hAnsi="Calibri"/>
          <w:color w:val="222222"/>
          <w:sz w:val="22"/>
          <w:szCs w:val="22"/>
        </w:rPr>
        <w:t xml:space="preserve">This annexure captures how Wiom’s outreach evolved since the pivot from affordable WiFi to Recharge-wala Ghar ka Net. It aligns Growth, Brand, Creative, Product, and Ops on what we tried, what the intent was, what we learned, what to carry forward, and what to avoid repeating. Read it as the accumulated memory behind the principles — the evidence the doctrine rests on.</w:t>
      </w:r>
    </w:p>
    <w:p>
      <w:pPr>
        <w:pStyle w:val="Heading2"/>
        <w:spacing w:after="140" w:before="280"/>
      </w:pPr>
      <w:r>
        <w:rPr>
          <w:rFonts w:ascii="Calibri" w:cs="Calibri" w:eastAsia="Calibri" w:hAnsi="Calibri"/>
          <w:b/>
          <w:bCs/>
          <w:color w:val="443152"/>
          <w:sz w:val="27"/>
          <w:szCs w:val="27"/>
        </w:rPr>
        <w:t xml:space="preserve">The five learnings that matter most</w:t>
      </w:r>
    </w:p>
    <w:p>
      <w:pPr>
        <w:pStyle w:val="ListParagraph"/>
        <w:numPr>
          <w:ilvl w:val="0"/>
          <w:numId w:val="2"/>
        </w:numPr>
        <w:spacing w:after="80" w:before="80" w:line="320"/>
      </w:pPr>
      <w:r>
        <w:rPr>
          <w:rFonts w:ascii="Calibri" w:cs="Calibri" w:eastAsia="Calibri" w:hAnsi="Calibri"/>
          <w:b/>
          <w:bCs/>
          <w:color w:val="222222"/>
          <w:sz w:val="22"/>
          <w:szCs w:val="22"/>
        </w:rPr>
        <w:t xml:space="preserve">Confusion with mobile data is the core risk.</w:t>
      </w:r>
      <w:r>
        <w:rPr>
          <w:rFonts w:ascii="Calibri" w:cs="Calibri" w:eastAsia="Calibri" w:hAnsi="Calibri"/>
          <w:color w:val="222222"/>
          <w:sz w:val="22"/>
          <w:szCs w:val="22"/>
        </w:rPr>
        <w:t xml:space="preserve"> Never say “recharge wala net” without “ghar.” The ghar anchor is non-optional.</w:t>
      </w:r>
    </w:p>
    <w:p>
      <w:pPr>
        <w:pStyle w:val="ListParagraph"/>
        <w:numPr>
          <w:ilvl w:val="0"/>
          <w:numId w:val="2"/>
        </w:numPr>
        <w:spacing w:after="80" w:before="80" w:line="320"/>
      </w:pPr>
      <w:r>
        <w:rPr>
          <w:rFonts w:ascii="Calibri" w:cs="Calibri" w:eastAsia="Calibri" w:hAnsi="Calibri"/>
          <w:b/>
          <w:bCs/>
          <w:color w:val="222222"/>
          <w:sz w:val="22"/>
          <w:szCs w:val="22"/>
        </w:rPr>
        <w:t xml:space="preserve">Users must learn the rule, not just the name.</w:t>
      </w:r>
      <w:r>
        <w:rPr>
          <w:rFonts w:ascii="Calibri" w:cs="Calibri" w:eastAsia="Calibri" w:hAnsi="Calibri"/>
          <w:color w:val="222222"/>
          <w:sz w:val="22"/>
          <w:szCs w:val="22"/>
        </w:rPr>
        <w:t xml:space="preserve"> Jitne din recharge, utne din net — surfaced clearly and early.</w:t>
      </w:r>
    </w:p>
    <w:p>
      <w:pPr>
        <w:pStyle w:val="ListParagraph"/>
        <w:numPr>
          <w:ilvl w:val="0"/>
          <w:numId w:val="2"/>
        </w:numPr>
        <w:spacing w:after="80" w:before="80" w:line="320"/>
      </w:pPr>
      <w:r>
        <w:rPr>
          <w:rFonts w:ascii="Calibri" w:cs="Calibri" w:eastAsia="Calibri" w:hAnsi="Calibri"/>
          <w:b/>
          <w:bCs/>
          <w:color w:val="222222"/>
          <w:sz w:val="22"/>
          <w:szCs w:val="22"/>
        </w:rPr>
        <w:t xml:space="preserve">Constraint-first creative outperforms feature-first.</w:t>
      </w:r>
      <w:r>
        <w:rPr>
          <w:rFonts w:ascii="Calibri" w:cs="Calibri" w:eastAsia="Calibri" w:hAnsi="Calibri"/>
          <w:color w:val="222222"/>
          <w:sz w:val="22"/>
          <w:szCs w:val="22"/>
        </w:rPr>
        <w:t xml:space="preserve"> Open on the viewer’s constraint, not the product’s benefit.</w:t>
      </w:r>
    </w:p>
    <w:p>
      <w:pPr>
        <w:pStyle w:val="ListParagraph"/>
        <w:numPr>
          <w:ilvl w:val="0"/>
          <w:numId w:val="2"/>
        </w:numPr>
        <w:spacing w:after="80" w:before="80" w:line="320"/>
      </w:pPr>
      <w:r>
        <w:rPr>
          <w:rFonts w:ascii="Calibri" w:cs="Calibri" w:eastAsia="Calibri" w:hAnsi="Calibri"/>
          <w:b/>
          <w:bCs/>
          <w:color w:val="222222"/>
          <w:sz w:val="22"/>
          <w:szCs w:val="22"/>
        </w:rPr>
        <w:t xml:space="preserve">CTA must follow comprehension.</w:t>
      </w:r>
      <w:r>
        <w:rPr>
          <w:rFonts w:ascii="Calibri" w:cs="Calibri" w:eastAsia="Calibri" w:hAnsi="Calibri"/>
          <w:color w:val="222222"/>
          <w:sz w:val="22"/>
          <w:szCs w:val="22"/>
        </w:rPr>
        <w:t xml:space="preserve"> Cold users get “Know More,” not “Book Now.”</w:t>
      </w:r>
    </w:p>
    <w:p>
      <w:pPr>
        <w:pStyle w:val="ListParagraph"/>
        <w:numPr>
          <w:ilvl w:val="0"/>
          <w:numId w:val="2"/>
        </w:numPr>
        <w:spacing w:after="80" w:before="80" w:line="320"/>
      </w:pPr>
      <w:r>
        <w:rPr>
          <w:rFonts w:ascii="Calibri" w:cs="Calibri" w:eastAsia="Calibri" w:hAnsi="Calibri"/>
          <w:b/>
          <w:bCs/>
          <w:color w:val="222222"/>
          <w:sz w:val="22"/>
          <w:szCs w:val="22"/>
        </w:rPr>
        <w:t xml:space="preserve">Demand cannot outrun operations.</w:t>
      </w:r>
      <w:r>
        <w:rPr>
          <w:rFonts w:ascii="Calibri" w:cs="Calibri" w:eastAsia="Calibri" w:hAnsi="Calibri"/>
          <w:color w:val="222222"/>
          <w:sz w:val="22"/>
          <w:szCs w:val="22"/>
        </w:rPr>
        <w:t xml:space="preserve"> Capacity leads demand. No demand generation where fulfilment is unreliable.</w:t>
      </w:r>
    </w:p>
    <w:p>
      <w:pPr>
        <w:pStyle w:val="Heading1"/>
        <w:spacing w:after="200" w:before="360"/>
      </w:pPr>
      <w:r>
        <w:rPr>
          <w:rFonts w:ascii="Calibri" w:cs="Calibri" w:eastAsia="Calibri" w:hAnsi="Calibri"/>
          <w:b/>
          <w:bCs/>
          <w:color w:val="443152"/>
          <w:sz w:val="34"/>
          <w:szCs w:val="34"/>
        </w:rPr>
        <w:t xml:space="preserve">1 — The reset context</w:t>
      </w:r>
    </w:p>
    <w:p>
      <w:pPr>
        <w:spacing w:after="100" w:before="100" w:line="320"/>
      </w:pPr>
      <w:r>
        <w:rPr>
          <w:rFonts w:ascii="Calibri" w:cs="Calibri" w:eastAsia="Calibri" w:hAnsi="Calibri"/>
          <w:color w:val="222222"/>
          <w:sz w:val="22"/>
          <w:szCs w:val="22"/>
        </w:rPr>
        <w:t xml:space="preserve">Earlier, Wiom was largely framed as affordable WiFi: “₹500 mein lagega bhi aur chalega bhi.” It worked because the proposition was simple — low upfront cost, net starts, no large installation charge, first usage included. But it kept Wiom inside the cheap-WiFi / affordable-broadband category, which created two risks: users compared Wiom against broadband players on speed, reliability, brand, and plan structure; and the real innovation — flexible, recharge-shaped home internet — was not fully owned. The pivot was therefore not a pricing change. It was a category reset.</w:t>
      </w:r>
    </w:p>
    <w:p>
      <w:pPr>
        <w:pStyle w:val="Heading1"/>
        <w:spacing w:after="200" w:before="360"/>
      </w:pPr>
      <w:r>
        <w:rPr>
          <w:rFonts w:ascii="Calibri" w:cs="Calibri" w:eastAsia="Calibri" w:hAnsi="Calibri"/>
          <w:b/>
          <w:bCs/>
          <w:color w:val="443152"/>
          <w:sz w:val="34"/>
          <w:szCs w:val="34"/>
        </w:rPr>
        <w:t xml:space="preserve">2 — New category thesis</w:t>
      </w:r>
    </w:p>
    <w:p>
      <w:pPr>
        <w:spacing w:after="100" w:before="100" w:line="320"/>
      </w:pPr>
      <w:r>
        <w:rPr>
          <w:rFonts w:ascii="Calibri" w:cs="Calibri" w:eastAsia="Calibri" w:hAnsi="Calibri"/>
          <w:color w:val="222222"/>
          <w:sz w:val="22"/>
          <w:szCs w:val="22"/>
        </w:rPr>
        <w:t xml:space="preserve">Wiom is for first-time home-internet households graduating from mobile internet. These households understand mobile recharge, daily/28-day prepaid behavior, top-ups, data exhaustion, hotspot jugaad, and paying when they need net. They do not always understand WiFi, broadband, ISP plans, speed tiers, or fixed-monthly commitment. Hence the category language: Recharge-wala Ghar ka Net — mobile-recharge flexibility plus the benefit of home net.</w:t>
      </w:r>
    </w:p>
    <w:p>
      <w:pPr>
        <w:pStyle w:val="Heading1"/>
        <w:spacing w:after="200" w:before="360"/>
      </w:pPr>
      <w:r>
        <w:rPr>
          <w:rFonts w:ascii="Calibri" w:cs="Calibri" w:eastAsia="Calibri" w:hAnsi="Calibri"/>
          <w:b/>
          <w:bCs/>
          <w:color w:val="443152"/>
          <w:sz w:val="34"/>
          <w:szCs w:val="34"/>
        </w:rPr>
        <w:t xml:space="preserve">3 — Category memory phrases</w:t>
      </w:r>
    </w:p>
    <w:p>
      <w:pPr>
        <w:spacing w:after="100" w:before="100" w:line="320"/>
      </w:pPr>
      <w:r>
        <w:rPr>
          <w:rFonts w:ascii="Calibri" w:cs="Calibri" w:eastAsia="Calibri" w:hAnsi="Calibri"/>
          <w:color w:val="222222"/>
          <w:sz w:val="22"/>
          <w:szCs w:val="22"/>
        </w:rPr>
        <w:t xml:space="preserve">Certain lines are not one-off campaign copy. They are category-memory assets, repeated across surfaces to build mental availability. The category cannot be built through new phrasing every week — repetition is the strategy.</w:t>
      </w:r>
    </w:p>
    <w:p>
      <w:pPr>
        <w:pStyle w:val="ListParagraph"/>
        <w:numPr>
          <w:ilvl w:val="0"/>
          <w:numId w:val="3"/>
        </w:numPr>
        <w:spacing w:after="60" w:before="60" w:line="320"/>
      </w:pPr>
      <w:r>
        <w:rPr>
          <w:rFonts w:ascii="Calibri" w:cs="Calibri" w:eastAsia="Calibri" w:hAnsi="Calibri"/>
          <w:b/>
          <w:bCs/>
          <w:color w:val="222222"/>
          <w:sz w:val="22"/>
          <w:szCs w:val="22"/>
        </w:rPr>
        <w:t xml:space="preserve">Recharge-wala Ghar ka Net</w:t>
      </w:r>
      <w:r>
        <w:rPr>
          <w:rFonts w:ascii="Calibri" w:cs="Calibri" w:eastAsia="Calibri" w:hAnsi="Calibri"/>
          <w:color w:val="222222"/>
          <w:sz w:val="22"/>
          <w:szCs w:val="22"/>
        </w:rPr>
        <w:t xml:space="preserve"> — category label.</w:t>
      </w:r>
    </w:p>
    <w:p>
      <w:pPr>
        <w:pStyle w:val="ListParagraph"/>
        <w:numPr>
          <w:ilvl w:val="0"/>
          <w:numId w:val="3"/>
        </w:numPr>
        <w:spacing w:after="60" w:before="60" w:line="320"/>
      </w:pPr>
      <w:r>
        <w:rPr>
          <w:rFonts w:ascii="Calibri" w:cs="Calibri" w:eastAsia="Calibri" w:hAnsi="Calibri"/>
          <w:b/>
          <w:bCs/>
          <w:color w:val="222222"/>
          <w:sz w:val="22"/>
          <w:szCs w:val="22"/>
        </w:rPr>
        <w:t xml:space="preserve">Jitne din recharge, utne din net</w:t>
      </w:r>
      <w:r>
        <w:rPr>
          <w:rFonts w:ascii="Calibri" w:cs="Calibri" w:eastAsia="Calibri" w:hAnsi="Calibri"/>
          <w:color w:val="222222"/>
          <w:sz w:val="22"/>
          <w:szCs w:val="22"/>
        </w:rPr>
        <w:t xml:space="preserve"> — operating rule.</w:t>
      </w:r>
    </w:p>
    <w:p>
      <w:pPr>
        <w:pStyle w:val="ListParagraph"/>
        <w:numPr>
          <w:ilvl w:val="0"/>
          <w:numId w:val="3"/>
        </w:numPr>
        <w:spacing w:after="60" w:before="60" w:line="320"/>
      </w:pPr>
      <w:r>
        <w:rPr>
          <w:rFonts w:ascii="Calibri" w:cs="Calibri" w:eastAsia="Calibri" w:hAnsi="Calibri"/>
          <w:b/>
          <w:bCs/>
          <w:color w:val="222222"/>
          <w:sz w:val="22"/>
          <w:szCs w:val="22"/>
        </w:rPr>
        <w:t xml:space="preserve">Chale aapke hisaab se</w:t>
      </w:r>
      <w:r>
        <w:rPr>
          <w:rFonts w:ascii="Calibri" w:cs="Calibri" w:eastAsia="Calibri" w:hAnsi="Calibri"/>
          <w:color w:val="222222"/>
          <w:sz w:val="22"/>
          <w:szCs w:val="22"/>
        </w:rPr>
        <w:t xml:space="preserve"> — emotional / control memory.</w:t>
      </w:r>
    </w:p>
    <w:p>
      <w:pPr>
        <w:pStyle w:val="Heading1"/>
        <w:spacing w:after="200" w:before="360"/>
      </w:pPr>
      <w:r>
        <w:rPr>
          <w:rFonts w:ascii="Calibri" w:cs="Calibri" w:eastAsia="Calibri" w:hAnsi="Calibri"/>
          <w:b/>
          <w:bCs/>
          <w:color w:val="443152"/>
          <w:sz w:val="34"/>
          <w:szCs w:val="34"/>
        </w:rPr>
        <w:t xml:space="preserve">4 — Why language discipline became important</w:t>
      </w:r>
    </w:p>
    <w:p>
      <w:pPr>
        <w:spacing w:after="100" w:before="100" w:line="320"/>
      </w:pPr>
      <w:r>
        <w:rPr>
          <w:rFonts w:ascii="Calibri" w:cs="Calibri" w:eastAsia="Calibri" w:hAnsi="Calibri"/>
          <w:color w:val="222222"/>
          <w:sz w:val="22"/>
          <w:szCs w:val="22"/>
        </w:rPr>
        <w:t xml:space="preserve">During the reset, we became careful with words like WiFi, broadband, fiber, speed plans, and cheap internet — because they pull users back into the old evaluation frame. If we say “WiFi,” users compare us to Airtel/Jio/broadband. If we say “cheap,” users assume low quality. If we say only “daily recharge,” users think it is a mobile-data product.</w:t>
      </w:r>
    </w:p>
    <w:p>
      <w:pPr>
        <w:pBdr>
          <w:left w:val="single" w:color="D9008D" w:sz="18" w:space="12"/>
        </w:pBdr>
        <w:spacing w:after="200" w:before="80" w:line="320"/>
        <w:ind w:left="360"/>
      </w:pPr>
      <w:r>
        <w:rPr>
          <w:rFonts w:ascii="Calibri" w:cs="Calibri" w:eastAsia="Calibri" w:hAnsi="Calibri"/>
          <w:i/>
          <w:iCs/>
          <w:color w:val="222222"/>
          <w:sz w:val="22"/>
          <w:szCs w:val="22"/>
        </w:rPr>
        <w:t xml:space="preserve">The safest full construct is Recharge-wala + Ghar ka Net. Recharge alone creates mobile confusion. Ghar ka Net alone drifts toward broadband. Together they create the new category.</w:t>
      </w:r>
    </w:p>
    <w:p>
      <w:pPr>
        <w:pStyle w:val="Heading1"/>
        <w:spacing w:after="200" w:before="360"/>
      </w:pPr>
      <w:r>
        <w:rPr>
          <w:rFonts w:ascii="Calibri" w:cs="Calibri" w:eastAsia="Calibri" w:hAnsi="Calibri"/>
          <w:b/>
          <w:bCs/>
          <w:color w:val="443152"/>
          <w:sz w:val="34"/>
          <w:szCs w:val="34"/>
        </w:rPr>
        <w:t xml:space="preserve">5 — Phase 1: category seeding before launch</w:t>
      </w:r>
    </w:p>
    <w:p>
      <w:pPr>
        <w:spacing w:after="100" w:before="100" w:line="320"/>
      </w:pPr>
      <w:r>
        <w:rPr>
          <w:rFonts w:ascii="Calibri" w:cs="Calibri" w:eastAsia="Calibri" w:hAnsi="Calibri"/>
          <w:color w:val="222222"/>
          <w:sz w:val="22"/>
          <w:szCs w:val="22"/>
        </w:rPr>
        <w:t xml:space="preserve">The earliest seeding phase was designed to create understanding, not conversion. The objective: create category understanding and identify high-readiness users in serviceable geographies, while generating clean intent signals without trust or CAC distortion. The team explicitly avoided optimizing for installs, bookings, revenue, ROAS, or hard conversion.</w:t>
      </w:r>
    </w:p>
    <w:p>
      <w:pPr>
        <w:pStyle w:val="Heading2"/>
        <w:spacing w:after="140" w:before="280"/>
      </w:pPr>
      <w:r>
        <w:rPr>
          <w:rFonts w:ascii="Calibri" w:cs="Calibri" w:eastAsia="Calibri" w:hAnsi="Calibri"/>
          <w:b/>
          <w:bCs/>
          <w:color w:val="443152"/>
          <w:sz w:val="27"/>
          <w:szCs w:val="27"/>
        </w:rPr>
        <w:t xml:space="preserve">The planned ad stack</w:t>
      </w:r>
    </w:p>
    <w:p>
      <w:pPr>
        <w:pStyle w:val="ListParagraph"/>
        <w:numPr>
          <w:ilvl w:val="0"/>
          <w:numId w:val="2"/>
        </w:numPr>
        <w:spacing w:after="60" w:before="60" w:line="320"/>
      </w:pPr>
      <w:r>
        <w:rPr>
          <w:rFonts w:ascii="Calibri" w:cs="Calibri" w:eastAsia="Calibri" w:hAnsi="Calibri"/>
          <w:b/>
          <w:bCs/>
          <w:color w:val="222222"/>
          <w:sz w:val="22"/>
          <w:szCs w:val="22"/>
        </w:rPr>
        <w:t xml:space="preserve">Category curiosity </w:t>
      </w:r>
      <w:r>
        <w:rPr>
          <w:rFonts w:ascii="Calibri" w:cs="Calibri" w:eastAsia="Calibri" w:hAnsi="Calibri"/>
          <w:color w:val="222222"/>
          <w:sz w:val="22"/>
          <w:szCs w:val="22"/>
        </w:rPr>
        <w:t xml:space="preserve">— make users pause and ask “What is Recharge-wala Ghar ka Net?” (e.g. “Mobile recharge jaise net — ghar ke liye”; “WiFi nahi. Broadband nahi. Kuch naya.”). CTA: Know More / Samjhiye — not Download / Book Now.</w:t>
      </w:r>
    </w:p>
    <w:p>
      <w:pPr>
        <w:pStyle w:val="ListParagraph"/>
        <w:numPr>
          <w:ilvl w:val="0"/>
          <w:numId w:val="2"/>
        </w:numPr>
        <w:spacing w:after="60" w:before="60" w:line="320"/>
      </w:pPr>
      <w:r>
        <w:rPr>
          <w:rFonts w:ascii="Calibri" w:cs="Calibri" w:eastAsia="Calibri" w:hAnsi="Calibri"/>
          <w:b/>
          <w:bCs/>
          <w:color w:val="222222"/>
          <w:sz w:val="22"/>
          <w:szCs w:val="22"/>
        </w:rPr>
        <w:t xml:space="preserve">Problem recognition </w:t>
      </w:r>
      <w:r>
        <w:rPr>
          <w:rFonts w:ascii="Calibri" w:cs="Calibri" w:eastAsia="Calibri" w:hAnsi="Calibri"/>
          <w:color w:val="222222"/>
          <w:sz w:val="22"/>
          <w:szCs w:val="22"/>
        </w:rPr>
        <w:t xml:space="preserve">— make users see that mobile-data jugaad is not enough for a household (one phone feeding the house, hotspot dependency, study + TV + calls competing).</w:t>
      </w:r>
    </w:p>
    <w:p>
      <w:pPr>
        <w:pStyle w:val="ListParagraph"/>
        <w:numPr>
          <w:ilvl w:val="0"/>
          <w:numId w:val="2"/>
        </w:numPr>
        <w:spacing w:after="60" w:before="60" w:line="320"/>
      </w:pPr>
      <w:r>
        <w:rPr>
          <w:rFonts w:ascii="Calibri" w:cs="Calibri" w:eastAsia="Calibri" w:hAnsi="Calibri"/>
          <w:b/>
          <w:bCs/>
          <w:color w:val="222222"/>
          <w:sz w:val="22"/>
          <w:szCs w:val="22"/>
        </w:rPr>
        <w:t xml:space="preserve">Early access signal </w:t>
      </w:r>
      <w:r>
        <w:rPr>
          <w:rFonts w:ascii="Calibri" w:cs="Calibri" w:eastAsia="Calibri" w:hAnsi="Calibri"/>
          <w:color w:val="222222"/>
          <w:sz w:val="22"/>
          <w:szCs w:val="22"/>
        </w:rPr>
        <w:t xml:space="preserve">— let already-interested users raise their hand without turning the phase into a sales push. The website was the explanation surface; the app was not the primary destination.</w:t>
      </w:r>
    </w:p>
    <w:p>
      <w:pPr>
        <w:pStyle w:val="Heading1"/>
        <w:spacing w:after="200" w:before="360"/>
      </w:pPr>
      <w:r>
        <w:rPr>
          <w:rFonts w:ascii="Calibri" w:cs="Calibri" w:eastAsia="Calibri" w:hAnsi="Calibri"/>
          <w:b/>
          <w:bCs/>
          <w:color w:val="443152"/>
          <w:sz w:val="34"/>
          <w:szCs w:val="34"/>
        </w:rPr>
        <w:t xml:space="preserve">6 — TVF and top-of-funnel films</w:t>
      </w:r>
    </w:p>
    <w:p>
      <w:pPr>
        <w:spacing w:after="100" w:before="100" w:line="320"/>
      </w:pPr>
      <w:r>
        <w:rPr>
          <w:rFonts w:ascii="Calibri" w:cs="Calibri" w:eastAsia="Calibri" w:hAnsi="Calibri"/>
          <w:color w:val="222222"/>
          <w:sz w:val="22"/>
          <w:szCs w:val="22"/>
        </w:rPr>
        <w:t xml:space="preserve">Wiom used TVF-style top-of-the-line films to establish category context — showing that mobile internet is not enough for the home. The role was not immediate conversion; it was to plant category vocabulary and create the first layer of meaning. The operating logic: meaning first, rule later, conversion after comprehension. The meaning layer taught that Recharge-wala Ghar ka Net exists; later activation work taught the rule, Jitne din recharge, utne din net.</w:t>
      </w:r>
    </w:p>
    <w:p>
      <w:pPr>
        <w:pStyle w:val="Heading1"/>
        <w:spacing w:after="200" w:before="360"/>
      </w:pPr>
      <w:r>
        <w:rPr>
          <w:rFonts w:ascii="Calibri" w:cs="Calibri" w:eastAsia="Calibri" w:hAnsi="Calibri"/>
          <w:b/>
          <w:bCs/>
          <w:color w:val="443152"/>
          <w:sz w:val="34"/>
          <w:szCs w:val="34"/>
        </w:rPr>
        <w:t xml:space="preserve">7 — Meta curiosity ads and “Know More” routing</w:t>
      </w:r>
    </w:p>
    <w:p>
      <w:pPr>
        <w:spacing w:after="100" w:before="100" w:line="320"/>
      </w:pPr>
      <w:r>
        <w:rPr>
          <w:rFonts w:ascii="Calibri" w:cs="Calibri" w:eastAsia="Calibri" w:hAnsi="Calibri"/>
          <w:color w:val="222222"/>
          <w:sz w:val="22"/>
          <w:szCs w:val="22"/>
        </w:rPr>
        <w:t xml:space="preserve">During the reset, Meta ads were not pure performance ads. They created curiosity, self-selection, category engagement, and readiness signals. Most CTAs stayed soft (“Know More”), and the routing was Ad → Website → App, not Ad → direct conversion — because users needed category explanation before booking. The CTA was deliberately slower than a normal performance funnel, because decision-before-understanding would create confusion and poor-quality intent.</w:t>
      </w:r>
    </w:p>
    <w:p>
      <w:pPr>
        <w:pStyle w:val="Heading1"/>
        <w:spacing w:after="200" w:before="360"/>
      </w:pPr>
      <w:r>
        <w:rPr>
          <w:rFonts w:ascii="Calibri" w:cs="Calibri" w:eastAsia="Calibri" w:hAnsi="Calibri"/>
          <w:b/>
          <w:bCs/>
          <w:color w:val="443152"/>
          <w:sz w:val="34"/>
          <w:szCs w:val="34"/>
        </w:rPr>
        <w:t xml:space="preserve">8 — Event-based and family-usage ads</w:t>
      </w:r>
    </w:p>
    <w:p>
      <w:pPr>
        <w:spacing w:after="100" w:before="100" w:line="320"/>
      </w:pPr>
      <w:r>
        <w:rPr>
          <w:rFonts w:ascii="Calibri" w:cs="Calibri" w:eastAsia="Calibri" w:hAnsi="Calibri"/>
          <w:color w:val="222222"/>
          <w:sz w:val="22"/>
          <w:szCs w:val="22"/>
        </w:rPr>
        <w:t xml:space="preserve">After initial seeding, Wiom ran ads around family events and household needs — cricket match, exam period, dance competition, OTT Sunday, festival, travel. The core idea: different homes need net for different time periods, so net should run according to need. This supported the rule — Jitne din recharge, utne din net — and made recharge duration feel normal, not strange.</w:t>
      </w:r>
    </w:p>
    <w:p>
      <w:pPr>
        <w:pStyle w:val="Heading1"/>
        <w:spacing w:after="200" w:before="360"/>
      </w:pPr>
      <w:r>
        <w:rPr>
          <w:rFonts w:ascii="Calibri" w:cs="Calibri" w:eastAsia="Calibri" w:hAnsi="Calibri"/>
          <w:b/>
          <w:bCs/>
          <w:color w:val="443152"/>
          <w:sz w:val="34"/>
          <w:szCs w:val="34"/>
        </w:rPr>
        <w:t xml:space="preserve">9 — “Kyunki… isliye…” ads</w:t>
      </w:r>
    </w:p>
    <w:p>
      <w:pPr>
        <w:spacing w:after="100" w:before="100" w:line="320"/>
      </w:pPr>
      <w:r>
        <w:rPr>
          <w:rFonts w:ascii="Calibri" w:cs="Calibri" w:eastAsia="Calibri" w:hAnsi="Calibri"/>
          <w:color w:val="222222"/>
          <w:sz w:val="22"/>
          <w:szCs w:val="22"/>
        </w:rPr>
        <w:t xml:space="preserve">Another format used the logic: since this household need exists, Wiom works this way. Examples: because 1.5GB is not enough for a full match, net should run properly for the whole day; because every family member has different work, net should be for the whole household; because every household’s need is different, net should run according to their need. These were less about emotion and more about rule reinforcement — useful for users who had encountered the category and needed the operating logic made explicit.</w:t>
      </w:r>
    </w:p>
    <w:p>
      <w:pPr>
        <w:pStyle w:val="Heading1"/>
        <w:spacing w:after="200" w:before="360"/>
      </w:pPr>
      <w:r>
        <w:rPr>
          <w:rFonts w:ascii="Calibri" w:cs="Calibri" w:eastAsia="Calibri" w:hAnsi="Calibri"/>
          <w:b/>
          <w:bCs/>
          <w:color w:val="443152"/>
          <w:sz w:val="34"/>
          <w:szCs w:val="34"/>
        </w:rPr>
        <w:t xml:space="preserve">10 — “Different days, different needs” ads</w:t>
      </w:r>
    </w:p>
    <w:p>
      <w:pPr>
        <w:spacing w:after="100" w:before="100" w:line="320"/>
      </w:pPr>
      <w:r>
        <w:rPr>
          <w:rFonts w:ascii="Calibri" w:cs="Calibri" w:eastAsia="Calibri" w:hAnsi="Calibri"/>
          <w:color w:val="222222"/>
          <w:sz w:val="22"/>
          <w:szCs w:val="22"/>
        </w:rPr>
        <w:t xml:space="preserve">Wiom tested ads where users expressed different day-needs — 1, 2, 7, 14, 28 days. The strategic role was to normalize the flexible recharge menu. The point was not to sell only 1-day recharge; it was to show the household chooses the duration. This links to the memory line, Chale aapke hisaab se.</w:t>
      </w:r>
    </w:p>
    <w:p>
      <w:pPr>
        <w:pStyle w:val="Heading1"/>
        <w:spacing w:after="200" w:before="360"/>
      </w:pPr>
      <w:r>
        <w:rPr>
          <w:rFonts w:ascii="Calibri" w:cs="Calibri" w:eastAsia="Calibri" w:hAnsi="Calibri"/>
          <w:b/>
          <w:bCs/>
          <w:color w:val="443152"/>
          <w:sz w:val="34"/>
          <w:szCs w:val="34"/>
        </w:rPr>
        <w:t xml:space="preserve">11 — What we deliberately avoided</w:t>
      </w:r>
    </w:p>
    <w:p>
      <w:pPr>
        <w:spacing w:after="100" w:before="100" w:line="320"/>
      </w:pPr>
      <w:r>
        <w:rPr>
          <w:rFonts w:ascii="Calibri" w:cs="Calibri" w:eastAsia="Calibri" w:hAnsi="Calibri"/>
          <w:color w:val="222222"/>
          <w:sz w:val="22"/>
          <w:szCs w:val="22"/>
        </w:rPr>
        <w:t xml:space="preserve">The outreach system avoided aggressive performance behavior. We generally did not add hard CTAs inside creative, push “Book Now,” use urgency-led offers, lead with price alone, push users straight to transaction before explanation, or run ads like a typical cheap-WiFi player. This was intentional — because Wiom was building a category, not only harvesting demand.</w:t>
      </w:r>
    </w:p>
    <w:p>
      <w:pPr>
        <w:pStyle w:val="Heading1"/>
        <w:spacing w:after="200" w:before="360"/>
      </w:pPr>
      <w:r>
        <w:rPr>
          <w:rFonts w:ascii="Calibri" w:cs="Calibri" w:eastAsia="Calibri" w:hAnsi="Calibri"/>
          <w:b/>
          <w:bCs/>
          <w:color w:val="443152"/>
          <w:sz w:val="34"/>
          <w:szCs w:val="34"/>
        </w:rPr>
        <w:t xml:space="preserve">12 — Key learning: confusion with mobile internet</w:t>
      </w:r>
    </w:p>
    <w:p>
      <w:pPr>
        <w:spacing w:after="100" w:before="100" w:line="320"/>
      </w:pPr>
      <w:r>
        <w:rPr>
          <w:rFonts w:ascii="Calibri" w:cs="Calibri" w:eastAsia="Calibri" w:hAnsi="Calibri"/>
          <w:color w:val="222222"/>
          <w:sz w:val="22"/>
          <w:szCs w:val="22"/>
        </w:rPr>
        <w:t xml:space="preserve">A core mid-funnel learning: some users confused Wiom with mobile internet — because daily recharge is strongly associated with mobile data, ₹23/day sounds like a mobile top-up, and the word “recharge” alone pulls users toward mobile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A" w:sz="4"/>
              <w:left w:val="single" w:color="C62828" w:sz="24"/>
              <w:bottom w:val="single" w:color="FBEAEA" w:sz="4"/>
              <w:right w:val="single" w:color="FBEAEA" w:sz="4"/>
            </w:tcBorders>
            <w:shd w:fill="FBEAEA" w:val="clear"/>
            <w:tcMar>
              <w:top w:type="dxa" w:w="120"/>
              <w:left w:type="dxa" w:w="220"/>
              <w:bottom w:type="dxa" w:w="120"/>
              <w:right w:type="dxa" w:w="200"/>
            </w:tcMar>
          </w:tcPr>
          <w:p>
            <w:pPr>
              <w:spacing w:after="60" w:before="40"/>
            </w:pPr>
            <w:r>
              <w:rPr>
                <w:rFonts w:ascii="Calibri" w:cs="Calibri" w:eastAsia="Calibri" w:hAnsi="Calibri"/>
                <w:b/>
                <w:bCs/>
                <w:color w:val="C62828"/>
                <w:sz w:val="18"/>
                <w:szCs w:val="18"/>
              </w:rPr>
              <w:t xml:space="preserve">CRITICAL</w:t>
            </w:r>
          </w:p>
          <w:p>
            <w:pPr>
              <w:spacing w:after="40" w:before="40" w:line="300"/>
            </w:pPr>
            <w:r>
              <w:rPr>
                <w:rFonts w:ascii="Calibri" w:cs="Calibri" w:eastAsia="Calibri" w:hAnsi="Calibri"/>
                <w:color w:val="222222"/>
                <w:sz w:val="22"/>
                <w:szCs w:val="22"/>
              </w:rPr>
              <w:t xml:space="preserve">Future communication must not say only “recharge wala net.” It must repeatedly say Recharge-wala Ghar ka Net. The “ghar” anchor is not optional — it prevents mobile-data confusion.</w:t>
            </w:r>
          </w:p>
        </w:tc>
      </w:tr>
    </w:tbl>
    <w:p>
      <w:pPr>
        <w:pStyle w:val="Heading1"/>
        <w:spacing w:after="200" w:before="360"/>
      </w:pPr>
      <w:r>
        <w:rPr>
          <w:rFonts w:ascii="Calibri" w:cs="Calibri" w:eastAsia="Calibri" w:hAnsi="Calibri"/>
          <w:b/>
          <w:bCs/>
          <w:color w:val="443152"/>
          <w:sz w:val="34"/>
          <w:szCs w:val="34"/>
        </w:rPr>
        <w:t xml:space="preserve">13 — Key learning: rule learning matters</w:t>
      </w:r>
    </w:p>
    <w:p>
      <w:pPr>
        <w:spacing w:after="100" w:before="100" w:line="320"/>
      </w:pPr>
      <w:r>
        <w:rPr>
          <w:rFonts w:ascii="Calibri" w:cs="Calibri" w:eastAsia="Calibri" w:hAnsi="Calibri"/>
          <w:color w:val="222222"/>
          <w:sz w:val="22"/>
          <w:szCs w:val="22"/>
        </w:rPr>
        <w:t xml:space="preserve">A major learning from the March activation sprint: users needed to understand the operating rule, not only the name — Jitne din recharge, utne din net. The March plan shifted from meaning dominance to rule-teaching dominance, in sequence: meaning film → activation stories → rule declaration → reassurance → install.</w:t>
      </w:r>
    </w:p>
    <w:p>
      <w:pPr>
        <w:spacing w:after="100" w:before="100" w:line="320"/>
      </w:pPr>
      <w:r>
        <w:rPr>
          <w:rFonts w:ascii="Calibri" w:cs="Calibri" w:eastAsia="Calibri" w:hAnsi="Calibri"/>
          <w:color w:val="222222"/>
          <w:sz w:val="22"/>
          <w:szCs w:val="22"/>
        </w:rPr>
        <w:t xml:space="preserve">Category creation has layers: name the category; teach the rule; show situations where the rule matters; reassure at hesitation points; only then push toward action.</w:t>
      </w:r>
    </w:p>
    <w:p>
      <w:pPr>
        <w:pStyle w:val="Heading1"/>
        <w:spacing w:after="200" w:before="360"/>
      </w:pPr>
      <w:r>
        <w:rPr>
          <w:rFonts w:ascii="Calibri" w:cs="Calibri" w:eastAsia="Calibri" w:hAnsi="Calibri"/>
          <w:b/>
          <w:bCs/>
          <w:color w:val="443152"/>
          <w:sz w:val="34"/>
          <w:szCs w:val="34"/>
        </w:rPr>
        <w:t xml:space="preserve">14 — Key learning: constraint-first creative worked better</w:t>
      </w:r>
    </w:p>
    <w:p>
      <w:pPr>
        <w:spacing w:after="100" w:before="100" w:line="320"/>
      </w:pPr>
      <w:r>
        <w:rPr>
          <w:rFonts w:ascii="Calibri" w:cs="Calibri" w:eastAsia="Calibri" w:hAnsi="Calibri"/>
          <w:color w:val="222222"/>
          <w:sz w:val="22"/>
          <w:szCs w:val="22"/>
        </w:rPr>
        <w:t xml:space="preserve">The strongest creative learning from the March sprint: start from the viewer’s constraint, not the product’s feature. The Dance film performed strongly because it opened with financial reality — the user’s unresolved constraint — not a product benefit.</w:t>
      </w:r>
    </w:p>
    <w:p>
      <w:pPr>
        <w:pBdr>
          <w:left w:val="single" w:color="D9008D" w:sz="18" w:space="12"/>
        </w:pBdr>
        <w:spacing w:after="200" w:before="80" w:line="320"/>
        <w:ind w:left="360"/>
      </w:pPr>
      <w:r>
        <w:rPr>
          <w:rFonts w:ascii="Calibri" w:cs="Calibri" w:eastAsia="Calibri" w:hAnsi="Calibri"/>
          <w:i/>
          <w:iCs/>
          <w:color w:val="222222"/>
          <w:sz w:val="22"/>
          <w:szCs w:val="22"/>
        </w:rPr>
        <w:t xml:space="preserve">The framework that emerged: Opening constraint → Urgency → Stakes. Example: “IPL kal hai. 1.5GB mein first innings bhi nahi chalegi. Aur poore mahine ka plan sirf match ke liye?” — stronger than “Wiom gives flexible recharge,” because the user sees their own situation first.</w:t>
      </w:r>
    </w:p>
    <w:p>
      <w:pPr>
        <w:pStyle w:val="Heading1"/>
        <w:spacing w:after="200" w:before="360"/>
      </w:pPr>
      <w:r>
        <w:rPr>
          <w:rFonts w:ascii="Calibri" w:cs="Calibri" w:eastAsia="Calibri" w:hAnsi="Calibri"/>
          <w:b/>
          <w:bCs/>
          <w:color w:val="443152"/>
          <w:sz w:val="34"/>
          <w:szCs w:val="34"/>
        </w:rPr>
        <w:t xml:space="preserve">15 — Key learning: CTA must follow comprehension</w:t>
      </w:r>
    </w:p>
    <w:p>
      <w:pPr>
        <w:spacing w:after="100" w:before="100" w:line="320"/>
      </w:pPr>
      <w:r>
        <w:rPr>
          <w:rFonts w:ascii="Calibri" w:cs="Calibri" w:eastAsia="Calibri" w:hAnsi="Calibri"/>
          <w:color w:val="222222"/>
          <w:sz w:val="22"/>
          <w:szCs w:val="22"/>
        </w:rPr>
        <w:t xml:space="preserve">The reset treated CTA carefully: CTA must match the user’s stage of understanding. Cold users should not be pushed into booking before they understand the category.</w:t>
      </w:r>
    </w:p>
    <w:p>
      <w:pPr>
        <w:pStyle w:val="ListParagraph"/>
        <w:numPr>
          <w:ilvl w:val="0"/>
          <w:numId w:val="2"/>
        </w:numPr>
        <w:spacing w:after="60" w:before="60" w:line="320"/>
      </w:pPr>
      <w:r>
        <w:rPr>
          <w:rFonts w:ascii="Calibri" w:cs="Calibri" w:eastAsia="Calibri" w:hAnsi="Calibri"/>
          <w:b/>
          <w:bCs/>
          <w:color w:val="222222"/>
          <w:sz w:val="22"/>
          <w:szCs w:val="22"/>
        </w:rPr>
        <w:t xml:space="preserve">Allowed early CTA: </w:t>
      </w:r>
      <w:r>
        <w:rPr>
          <w:rFonts w:ascii="Calibri" w:cs="Calibri" w:eastAsia="Calibri" w:hAnsi="Calibri"/>
          <w:color w:val="222222"/>
          <w:sz w:val="22"/>
          <w:szCs w:val="22"/>
        </w:rPr>
        <w:t xml:space="preserve">Learn More / Know More.</w:t>
      </w:r>
    </w:p>
    <w:p>
      <w:pPr>
        <w:pStyle w:val="ListParagraph"/>
        <w:numPr>
          <w:ilvl w:val="0"/>
          <w:numId w:val="2"/>
        </w:numPr>
        <w:spacing w:after="60" w:before="60" w:line="320"/>
      </w:pPr>
      <w:r>
        <w:rPr>
          <w:rFonts w:ascii="Calibri" w:cs="Calibri" w:eastAsia="Calibri" w:hAnsi="Calibri"/>
          <w:b/>
          <w:bCs/>
          <w:color w:val="222222"/>
          <w:sz w:val="22"/>
          <w:szCs w:val="22"/>
        </w:rPr>
        <w:t xml:space="preserve">Avoided CTAs: </w:t>
      </w:r>
      <w:r>
        <w:rPr>
          <w:rFonts w:ascii="Calibri" w:cs="Calibri" w:eastAsia="Calibri" w:hAnsi="Calibri"/>
          <w:color w:val="222222"/>
          <w:sz w:val="22"/>
          <w:szCs w:val="22"/>
        </w:rPr>
        <w:t xml:space="preserve">Install Now, Book Now, Subscribe, Free Trial, Limited Offer, Download Now.</w:t>
      </w:r>
    </w:p>
    <w:p>
      <w:pPr>
        <w:spacing w:after="100" w:before="100" w:line="320"/>
      </w:pPr>
      <w:r>
        <w:rPr>
          <w:rFonts w:ascii="Calibri" w:cs="Calibri" w:eastAsia="Calibri" w:hAnsi="Calibri"/>
          <w:color w:val="222222"/>
          <w:sz w:val="22"/>
          <w:szCs w:val="22"/>
        </w:rPr>
        <w:t xml:space="preserve">This protected the category from pressure-selling and wrong expectations.</w:t>
      </w:r>
    </w:p>
    <w:p>
      <w:pPr>
        <w:pStyle w:val="Heading1"/>
        <w:spacing w:after="200" w:before="360"/>
      </w:pPr>
      <w:r>
        <w:rPr>
          <w:rFonts w:ascii="Calibri" w:cs="Calibri" w:eastAsia="Calibri" w:hAnsi="Calibri"/>
          <w:b/>
          <w:bCs/>
          <w:color w:val="443152"/>
          <w:sz w:val="34"/>
          <w:szCs w:val="34"/>
        </w:rPr>
        <w:t xml:space="preserve">16 — Key learning: demand cannot outrun operations</w:t>
      </w:r>
    </w:p>
    <w:p>
      <w:pPr>
        <w:spacing w:after="100" w:before="100" w:line="320"/>
      </w:pPr>
      <w:r>
        <w:rPr>
          <w:rFonts w:ascii="Calibri" w:cs="Calibri" w:eastAsia="Calibri" w:hAnsi="Calibri"/>
          <w:color w:val="222222"/>
          <w:sz w:val="22"/>
          <w:szCs w:val="22"/>
        </w:rPr>
        <w:t xml:space="preserve">The March sprint exposed that demand generation can damage the system if bookings are not converted into connections. The April operating principle became: demand does not lead the system — capacity leads demand. Until booking-to-connection rate and daily connection capacity stabilize, marketing should shape demand rather than expand it aggressively.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0" w:sz="4"/>
              <w:left w:val="single" w:color="B8860B" w:sz="24"/>
              <w:bottom w:val="single" w:color="FFF7E0" w:sz="4"/>
              <w:right w:val="single" w:color="FFF7E0" w:sz="4"/>
            </w:tcBorders>
            <w:shd w:fill="FFF7E0" w:val="clear"/>
            <w:tcMar>
              <w:top w:type="dxa" w:w="120"/>
              <w:left w:type="dxa" w:w="220"/>
              <w:bottom w:type="dxa" w:w="120"/>
              <w:right w:type="dxa" w:w="200"/>
            </w:tcMar>
          </w:tcPr>
          <w:p>
            <w:pPr>
              <w:spacing w:after="60" w:before="40"/>
            </w:pPr>
            <w:r>
              <w:rPr>
                <w:rFonts w:ascii="Calibri" w:cs="Calibri" w:eastAsia="Calibri" w:hAnsi="Calibri"/>
                <w:b/>
                <w:bCs/>
                <w:color w:val="B8860B"/>
                <w:sz w:val="18"/>
                <w:szCs w:val="18"/>
              </w:rPr>
              <w:t xml:space="preserve">RULE</w:t>
            </w:r>
          </w:p>
          <w:p>
            <w:pPr>
              <w:spacing w:after="40" w:before="40" w:line="300"/>
            </w:pPr>
            <w:r>
              <w:rPr>
                <w:rFonts w:ascii="Calibri" w:cs="Calibri" w:eastAsia="Calibri" w:hAnsi="Calibri"/>
                <w:color w:val="222222"/>
                <w:sz w:val="22"/>
                <w:szCs w:val="22"/>
              </w:rPr>
              <w:t xml:space="preserve">No demand generation in zones where fulfilment cannot happen reliably. This learning remains critical for all future growth plans.</w:t>
            </w:r>
          </w:p>
        </w:tc>
      </w:tr>
    </w:tbl>
    <w:p>
      <w:pPr>
        <w:pStyle w:val="Heading1"/>
        <w:spacing w:after="200" w:before="360"/>
      </w:pPr>
      <w:r>
        <w:rPr>
          <w:rFonts w:ascii="Calibri" w:cs="Calibri" w:eastAsia="Calibri" w:hAnsi="Calibri"/>
          <w:b/>
          <w:bCs/>
          <w:color w:val="443152"/>
          <w:sz w:val="34"/>
          <w:szCs w:val="34"/>
        </w:rPr>
        <w:t xml:space="preserve">17 — What this means for future outreach</w:t>
      </w:r>
    </w:p>
    <w:p>
      <w:pPr>
        <w:spacing w:after="100" w:before="100" w:line="320"/>
      </w:pPr>
      <w:r>
        <w:rPr>
          <w:rFonts w:ascii="Calibri" w:cs="Calibri" w:eastAsia="Calibri" w:hAnsi="Calibri"/>
          <w:color w:val="222222"/>
          <w:sz w:val="22"/>
          <w:szCs w:val="22"/>
        </w:rPr>
        <w:t xml:space="preserve">Future outreach should combine:</w:t>
      </w:r>
    </w:p>
    <w:p>
      <w:pPr>
        <w:pStyle w:val="ListParagraph"/>
        <w:numPr>
          <w:ilvl w:val="0"/>
          <w:numId w:val="2"/>
        </w:numPr>
        <w:spacing w:after="60" w:before="60" w:line="320"/>
      </w:pPr>
      <w:r>
        <w:rPr>
          <w:rFonts w:ascii="Calibri" w:cs="Calibri" w:eastAsia="Calibri" w:hAnsi="Calibri"/>
          <w:b/>
          <w:bCs/>
          <w:color w:val="222222"/>
          <w:sz w:val="22"/>
          <w:szCs w:val="22"/>
        </w:rPr>
        <w:t xml:space="preserve">Category clarity </w:t>
      </w:r>
      <w:r>
        <w:rPr>
          <w:rFonts w:ascii="Calibri" w:cs="Calibri" w:eastAsia="Calibri" w:hAnsi="Calibri"/>
          <w:color w:val="222222"/>
          <w:sz w:val="22"/>
          <w:szCs w:val="22"/>
        </w:rPr>
        <w:t xml:space="preserve">— always land Recharge-wala Ghar ka Net.</w:t>
      </w:r>
    </w:p>
    <w:p>
      <w:pPr>
        <w:pStyle w:val="ListParagraph"/>
        <w:numPr>
          <w:ilvl w:val="0"/>
          <w:numId w:val="2"/>
        </w:numPr>
        <w:spacing w:after="60" w:before="60" w:line="320"/>
      </w:pPr>
      <w:r>
        <w:rPr>
          <w:rFonts w:ascii="Calibri" w:cs="Calibri" w:eastAsia="Calibri" w:hAnsi="Calibri"/>
          <w:b/>
          <w:bCs/>
          <w:color w:val="222222"/>
          <w:sz w:val="22"/>
          <w:szCs w:val="22"/>
        </w:rPr>
        <w:t xml:space="preserve">Rule memory </w:t>
      </w:r>
      <w:r>
        <w:rPr>
          <w:rFonts w:ascii="Calibri" w:cs="Calibri" w:eastAsia="Calibri" w:hAnsi="Calibri"/>
          <w:color w:val="222222"/>
          <w:sz w:val="22"/>
          <w:szCs w:val="22"/>
        </w:rPr>
        <w:t xml:space="preserve">— repeat Jitne din recharge, utne din net.</w:t>
      </w:r>
    </w:p>
    <w:p>
      <w:pPr>
        <w:pStyle w:val="ListParagraph"/>
        <w:numPr>
          <w:ilvl w:val="0"/>
          <w:numId w:val="2"/>
        </w:numPr>
        <w:spacing w:after="60" w:before="60" w:line="320"/>
      </w:pPr>
      <w:r>
        <w:rPr>
          <w:rFonts w:ascii="Calibri" w:cs="Calibri" w:eastAsia="Calibri" w:hAnsi="Calibri"/>
          <w:b/>
          <w:bCs/>
          <w:color w:val="222222"/>
          <w:sz w:val="22"/>
          <w:szCs w:val="22"/>
        </w:rPr>
        <w:t xml:space="preserve">Emotional control </w:t>
      </w:r>
      <w:r>
        <w:rPr>
          <w:rFonts w:ascii="Calibri" w:cs="Calibri" w:eastAsia="Calibri" w:hAnsi="Calibri"/>
          <w:color w:val="222222"/>
          <w:sz w:val="22"/>
          <w:szCs w:val="22"/>
        </w:rPr>
        <w:t xml:space="preserve">— reinforce Chale aapke hisaab se.</w:t>
      </w:r>
    </w:p>
    <w:p>
      <w:pPr>
        <w:pStyle w:val="ListParagraph"/>
        <w:numPr>
          <w:ilvl w:val="0"/>
          <w:numId w:val="2"/>
        </w:numPr>
        <w:spacing w:after="60" w:before="60" w:line="320"/>
      </w:pPr>
      <w:r>
        <w:rPr>
          <w:rFonts w:ascii="Calibri" w:cs="Calibri" w:eastAsia="Calibri" w:hAnsi="Calibri"/>
          <w:b/>
          <w:bCs/>
          <w:color w:val="222222"/>
          <w:sz w:val="22"/>
          <w:szCs w:val="22"/>
        </w:rPr>
        <w:t xml:space="preserve">Household anchor </w:t>
      </w:r>
      <w:r>
        <w:rPr>
          <w:rFonts w:ascii="Calibri" w:cs="Calibri" w:eastAsia="Calibri" w:hAnsi="Calibri"/>
          <w:color w:val="222222"/>
          <w:sz w:val="22"/>
          <w:szCs w:val="22"/>
        </w:rPr>
        <w:t xml:space="preserve">— make clear this is for the whole home, not one phone.</w:t>
      </w:r>
    </w:p>
    <w:p>
      <w:pPr>
        <w:pStyle w:val="ListParagraph"/>
        <w:numPr>
          <w:ilvl w:val="0"/>
          <w:numId w:val="2"/>
        </w:numPr>
        <w:spacing w:after="60" w:before="60" w:line="320"/>
      </w:pPr>
      <w:r>
        <w:rPr>
          <w:rFonts w:ascii="Calibri" w:cs="Calibri" w:eastAsia="Calibri" w:hAnsi="Calibri"/>
          <w:b/>
          <w:bCs/>
          <w:color w:val="222222"/>
          <w:sz w:val="22"/>
          <w:szCs w:val="22"/>
        </w:rPr>
        <w:t xml:space="preserve">Real need-state </w:t>
      </w:r>
      <w:r>
        <w:rPr>
          <w:rFonts w:ascii="Calibri" w:cs="Calibri" w:eastAsia="Calibri" w:hAnsi="Calibri"/>
          <w:color w:val="222222"/>
          <w:sz w:val="22"/>
          <w:szCs w:val="22"/>
        </w:rPr>
        <w:t xml:space="preserve">— start from user reality: hotspot failure, top-up fatigue, monthly-bill hesitation, family members needing net together, short-duration need, variable cashflow.</w:t>
      </w:r>
    </w:p>
    <w:p>
      <w:pPr>
        <w:pStyle w:val="ListParagraph"/>
        <w:numPr>
          <w:ilvl w:val="0"/>
          <w:numId w:val="2"/>
        </w:numPr>
        <w:spacing w:after="60" w:before="60" w:line="320"/>
      </w:pPr>
      <w:r>
        <w:rPr>
          <w:rFonts w:ascii="Calibri" w:cs="Calibri" w:eastAsia="Calibri" w:hAnsi="Calibri"/>
          <w:b/>
          <w:bCs/>
          <w:color w:val="222222"/>
          <w:sz w:val="22"/>
          <w:szCs w:val="22"/>
        </w:rPr>
        <w:t xml:space="preserve">Low-pressure routing </w:t>
      </w:r>
      <w:r>
        <w:rPr>
          <w:rFonts w:ascii="Calibri" w:cs="Calibri" w:eastAsia="Calibri" w:hAnsi="Calibri"/>
          <w:color w:val="222222"/>
          <w:sz w:val="22"/>
          <w:szCs w:val="22"/>
        </w:rPr>
        <w:t xml:space="preserve">— match CTA to awareness stage: cold → learn more, warm → get Wiom, ready → book.</w:t>
      </w:r>
    </w:p>
    <w:p>
      <w:pPr>
        <w:pStyle w:val="Heading1"/>
        <w:spacing w:after="200" w:before="360"/>
      </w:pPr>
      <w:r>
        <w:rPr>
          <w:rFonts w:ascii="Calibri" w:cs="Calibri" w:eastAsia="Calibri" w:hAnsi="Calibri"/>
          <w:b/>
          <w:bCs/>
          <w:color w:val="443152"/>
          <w:sz w:val="34"/>
          <w:szCs w:val="34"/>
        </w:rPr>
        <w:t xml:space="preserve">18 — What should not be repeated blindly</w:t>
      </w:r>
    </w:p>
    <w:p>
      <w:pPr>
        <w:pStyle w:val="ListParagraph"/>
        <w:numPr>
          <w:ilvl w:val="0"/>
          <w:numId w:val="2"/>
        </w:numPr>
        <w:spacing w:after="60" w:before="60" w:line="320"/>
      </w:pPr>
      <w:r>
        <w:rPr>
          <w:rFonts w:ascii="Calibri" w:cs="Calibri" w:eastAsia="Calibri" w:hAnsi="Calibri"/>
          <w:color w:val="222222"/>
          <w:sz w:val="22"/>
          <w:szCs w:val="22"/>
        </w:rPr>
        <w:t xml:space="preserve">Top-of-funnel films without rule reinforcement.</w:t>
      </w:r>
    </w:p>
    <w:p>
      <w:pPr>
        <w:pStyle w:val="ListParagraph"/>
        <w:numPr>
          <w:ilvl w:val="0"/>
          <w:numId w:val="2"/>
        </w:numPr>
        <w:spacing w:after="60" w:before="60" w:line="320"/>
      </w:pPr>
      <w:r>
        <w:rPr>
          <w:rFonts w:ascii="Calibri" w:cs="Calibri" w:eastAsia="Calibri" w:hAnsi="Calibri"/>
          <w:color w:val="222222"/>
          <w:sz w:val="22"/>
          <w:szCs w:val="22"/>
        </w:rPr>
        <w:t xml:space="preserve">Curiosity without a conversion path.</w:t>
      </w:r>
    </w:p>
    <w:p>
      <w:pPr>
        <w:pStyle w:val="ListParagraph"/>
        <w:numPr>
          <w:ilvl w:val="0"/>
          <w:numId w:val="2"/>
        </w:numPr>
        <w:spacing w:after="60" w:before="60" w:line="320"/>
      </w:pPr>
      <w:r>
        <w:rPr>
          <w:rFonts w:ascii="Calibri" w:cs="Calibri" w:eastAsia="Calibri" w:hAnsi="Calibri"/>
          <w:color w:val="222222"/>
          <w:sz w:val="22"/>
          <w:szCs w:val="22"/>
        </w:rPr>
        <w:t xml:space="preserve">Performance scaling without capacity gating.</w:t>
      </w:r>
    </w:p>
    <w:p>
      <w:pPr>
        <w:pStyle w:val="ListParagraph"/>
        <w:numPr>
          <w:ilvl w:val="0"/>
          <w:numId w:val="2"/>
        </w:numPr>
        <w:spacing w:after="60" w:before="60" w:line="320"/>
      </w:pPr>
      <w:r>
        <w:rPr>
          <w:rFonts w:ascii="Calibri" w:cs="Calibri" w:eastAsia="Calibri" w:hAnsi="Calibri"/>
          <w:color w:val="222222"/>
          <w:sz w:val="22"/>
          <w:szCs w:val="22"/>
        </w:rPr>
        <w:t xml:space="preserve">Daily recharge messaging without “ghar ka net.”</w:t>
      </w:r>
    </w:p>
    <w:p>
      <w:pPr>
        <w:pStyle w:val="ListParagraph"/>
        <w:numPr>
          <w:ilvl w:val="0"/>
          <w:numId w:val="2"/>
        </w:numPr>
        <w:spacing w:after="60" w:before="60" w:line="320"/>
      </w:pPr>
      <w:r>
        <w:rPr>
          <w:rFonts w:ascii="Calibri" w:cs="Calibri" w:eastAsia="Calibri" w:hAnsi="Calibri"/>
          <w:color w:val="222222"/>
          <w:sz w:val="22"/>
          <w:szCs w:val="22"/>
        </w:rPr>
        <w:t xml:space="preserve">Price-led ads that reduce Wiom to cheap WiFi.</w:t>
      </w:r>
    </w:p>
    <w:p>
      <w:pPr>
        <w:pStyle w:val="ListParagraph"/>
        <w:numPr>
          <w:ilvl w:val="0"/>
          <w:numId w:val="2"/>
        </w:numPr>
        <w:spacing w:after="60" w:before="60" w:line="320"/>
      </w:pPr>
      <w:r>
        <w:rPr>
          <w:rFonts w:ascii="Calibri" w:cs="Calibri" w:eastAsia="Calibri" w:hAnsi="Calibri"/>
          <w:color w:val="222222"/>
          <w:sz w:val="22"/>
          <w:szCs w:val="22"/>
        </w:rPr>
        <w:t xml:space="preserve">Hard CTA before comprehension.</w:t>
      </w:r>
    </w:p>
    <w:p>
      <w:pPr>
        <w:pStyle w:val="ListParagraph"/>
        <w:numPr>
          <w:ilvl w:val="0"/>
          <w:numId w:val="2"/>
        </w:numPr>
        <w:spacing w:after="60" w:before="60" w:line="320"/>
      </w:pPr>
      <w:r>
        <w:rPr>
          <w:rFonts w:ascii="Calibri" w:cs="Calibri" w:eastAsia="Calibri" w:hAnsi="Calibri"/>
          <w:color w:val="222222"/>
          <w:sz w:val="22"/>
          <w:szCs w:val="22"/>
        </w:rPr>
        <w:t xml:space="preserve">Broad paid demand in unserviceable / low-capacity zones.</w:t>
      </w:r>
    </w:p>
    <w:p>
      <w:pPr>
        <w:pStyle w:val="Heading1"/>
        <w:spacing w:after="200" w:before="360"/>
      </w:pPr>
      <w:r>
        <w:rPr>
          <w:rFonts w:ascii="Calibri" w:cs="Calibri" w:eastAsia="Calibri" w:hAnsi="Calibri"/>
          <w:b/>
          <w:bCs/>
          <w:color w:val="443152"/>
          <w:sz w:val="34"/>
          <w:szCs w:val="34"/>
        </w:rPr>
        <w:t xml:space="preserve">19 — The current strategic stance</w:t>
      </w:r>
    </w:p>
    <w:p>
      <w:pPr>
        <w:spacing w:after="100" w:before="100" w:line="320"/>
      </w:pPr>
      <w:r>
        <w:rPr>
          <w:rFonts w:ascii="Calibri" w:cs="Calibri" w:eastAsia="Calibri" w:hAnsi="Calibri"/>
          <w:color w:val="222222"/>
          <w:sz w:val="22"/>
          <w:szCs w:val="22"/>
        </w:rPr>
        <w:t xml:space="preserve">Wiom is not at pure awareness stage anymore, but it is also not a fully settled performance category. The correct stance is performance-assisted category formation: use performance channels, but do not behave like a pure performance brand; test conversion, but protect category meaning; increase CTA intensity by user readiness, but do not collapse into cheap WiFi or mobile-top-up confusion.</w:t>
      </w:r>
    </w:p>
    <w:p>
      <w:pPr>
        <w:pStyle w:val="Heading1"/>
        <w:spacing w:after="200" w:before="360"/>
      </w:pPr>
      <w:r>
        <w:rPr>
          <w:rFonts w:ascii="Calibri" w:cs="Calibri" w:eastAsia="Calibri" w:hAnsi="Calibri"/>
          <w:b/>
          <w:bCs/>
          <w:color w:val="443152"/>
          <w:sz w:val="34"/>
          <w:szCs w:val="34"/>
        </w:rPr>
        <w:t xml:space="preserve">20 — Final briefing line</w:t>
      </w:r>
    </w:p>
    <w:p>
      <w:pPr>
        <w:spacing w:after="100" w:before="100" w:line="320"/>
      </w:pPr>
      <w:r>
        <w:rPr>
          <w:rFonts w:ascii="Calibri" w:cs="Calibri" w:eastAsia="Calibri" w:hAnsi="Calibri"/>
          <w:color w:val="222222"/>
          <w:sz w:val="22"/>
          <w:szCs w:val="22"/>
        </w:rPr>
        <w:t xml:space="preserve">The outreach so far has taught us that Wiom must not choose between category creation and conversion. The correct system is: create recognition from mobile-data pain, teach the recharge-shaped home-net rule, anchor the category in the household, and only then convert.</w:t>
      </w:r>
    </w:p>
    <w:p>
      <w:pPr>
        <w:pBdr>
          <w:left w:val="single" w:color="D9008D" w:sz="18" w:space="12"/>
        </w:pBdr>
        <w:spacing w:after="200" w:before="80" w:line="320"/>
        <w:ind w:left="360"/>
      </w:pPr>
      <w:r>
        <w:rPr>
          <w:rFonts w:ascii="Calibri" w:cs="Calibri" w:eastAsia="Calibri" w:hAnsi="Calibri"/>
          <w:i/>
          <w:iCs/>
          <w:color w:val="222222"/>
          <w:sz w:val="22"/>
          <w:szCs w:val="22"/>
        </w:rPr>
        <w:t xml:space="preserve">The memory stack to repeat everywhere: Wiom. Recharge-wala Ghar ka Net. Jitne din recharge, utne din net. Chale aapke hisaab 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jc w:val="center"/>
    </w:pPr>
    <w:r>
      <w:rPr>
        <w:rFonts w:ascii="Calibri" w:cs="Calibri" w:eastAsia="Calibri" w:hAnsi="Calibri"/>
        <w:color w:val="5A6B80"/>
        <w:sz w:val="18"/>
        <w:szCs w:val="18"/>
      </w:rPr>
      <w:t xml:space="preserve">Wiom · Category Reset Outreach Annexure · </w:t>
    </w:r>
    <w:r>
      <w:rPr>
        <w:rFonts w:ascii="Calibri" w:cs="Calibri" w:eastAsia="Calibri" w:hAnsi="Calibri"/>
        <w:color w:val="5A6B80"/>
        <w:sz w:val="18"/>
        <w:szCs w:val="18"/>
      </w:rPr>
      <w:t xml:space="preserve">Page </w:t>
    </w:r>
    <w:r>
      <w:rPr>
        <w:rFonts w:ascii="Calibri" w:cs="Calibri" w:eastAsia="Calibri" w:hAnsi="Calibri"/>
        <w:color w:val="5A6B80"/>
        <w:sz w:val="18"/>
        <w:szCs w:val="18"/>
      </w:rPr>
      <w:fldChar w:fldCharType="begin"/>
      <w:instrText xml:space="preserve">PAGE</w:instrText>
      <w:fldChar w:fldCharType="separate"/>
      <w:fldChar w:fldCharType="end"/>
    </w:r>
    <w:r>
      <w:rPr>
        <w:rFonts w:ascii="Calibri" w:cs="Calibri" w:eastAsia="Calibri" w:hAnsi="Calibri"/>
        <w:color w:val="5A6B80"/>
        <w:sz w:val="18"/>
        <w:szCs w:val="18"/>
      </w:rPr>
      <w:t xml:space="preserve"> of </w:t>
    </w:r>
    <w:r>
      <w:rPr>
        <w:rFonts w:ascii="Calibri" w:cs="Calibri" w:eastAsia="Calibri" w:hAnsi="Calibri"/>
        <w:color w:val="5A6B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abstractNum w:abstractNumId="33" w15:restartNumberingAfterBreak="0">
    <w:multiLevelType w:val="hybridMultilevel"/>
    <w:lvl w:ilvl="0" w15:tentative="1">
      <w:start w:val="1"/>
      <w:numFmt w:val="decimal"/>
      <w:lvlText w:val="%1."/>
      <w:lvlJc w:val="left"/>
      <w:pPr>
        <w:ind w:left="540" w:hanging="280"/>
      </w:pPr>
    </w:lvl>
  </w:abstractNum>
  <w:abstractNum w:abstractNumId="34" w15:restartNumberingAfterBreak="0">
    <w:multiLevelType w:val="hybridMultilevel"/>
    <w:lvl w:ilvl="0" w15:tentative="1">
      <w:start w:val="1"/>
      <w:numFmt w:val="decimal"/>
      <w:lvlText w:val="%1."/>
      <w:lvlJc w:val="left"/>
      <w:pPr>
        <w:ind w:left="540" w:hanging="280"/>
      </w:pPr>
    </w:lvl>
  </w:abstractNum>
  <w:abstractNum w:abstractNumId="35" w15:restartNumberingAfterBreak="0">
    <w:multiLevelType w:val="hybridMultilevel"/>
    <w:lvl w:ilvl="0" w15:tentative="1">
      <w:start w:val="1"/>
      <w:numFmt w:val="decimal"/>
      <w:lvlText w:val="%1."/>
      <w:lvlJc w:val="left"/>
      <w:pPr>
        <w:ind w:left="540" w:hanging="280"/>
      </w:pPr>
    </w:lvl>
  </w:abstractNum>
  <w:abstractNum w:abstractNumId="36" w15:restartNumberingAfterBreak="0">
    <w:multiLevelType w:val="hybridMultilevel"/>
    <w:lvl w:ilvl="0" w15:tentative="1">
      <w:start w:val="1"/>
      <w:numFmt w:val="decimal"/>
      <w:lvlText w:val="%1."/>
      <w:lvlJc w:val="left"/>
      <w:pPr>
        <w:ind w:left="540" w:hanging="280"/>
      </w:pPr>
    </w:lvl>
  </w:abstractNum>
  <w:abstractNum w:abstractNumId="37" w15:restartNumberingAfterBreak="0">
    <w:multiLevelType w:val="hybridMultilevel"/>
    <w:lvl w:ilvl="0" w15:tentative="1">
      <w:start w:val="1"/>
      <w:numFmt w:val="decimal"/>
      <w:lvlText w:val="%1."/>
      <w:lvlJc w:val="left"/>
      <w:pPr>
        <w:ind w:left="540" w:hanging="280"/>
      </w:pPr>
    </w:lvl>
  </w:abstractNum>
  <w:abstractNum w:abstractNumId="38" w15:restartNumberingAfterBreak="0">
    <w:multiLevelType w:val="hybridMultilevel"/>
    <w:lvl w:ilvl="0" w15:tentative="1">
      <w:start w:val="1"/>
      <w:numFmt w:val="decimal"/>
      <w:lvlText w:val="%1."/>
      <w:lvlJc w:val="left"/>
      <w:pPr>
        <w:ind w:left="540" w:hanging="280"/>
      </w:pPr>
    </w:lvl>
  </w:abstractNum>
  <w:abstractNum w:abstractNumId="39" w15:restartNumberingAfterBreak="0">
    <w:multiLevelType w:val="hybridMultilevel"/>
    <w:lvl w:ilvl="0" w15:tentative="1">
      <w:start w:val="1"/>
      <w:numFmt w:val="decimal"/>
      <w:lvlText w:val="%1."/>
      <w:lvlJc w:val="left"/>
      <w:pPr>
        <w:ind w:left="540" w:hanging="280"/>
      </w:pPr>
    </w:lvl>
  </w:abstractNum>
  <w:abstractNum w:abstractNumId="40" w15:restartNumberingAfterBreak="0">
    <w:multiLevelType w:val="hybridMultilevel"/>
    <w:lvl w:ilvl="0" w15:tentative="1">
      <w:start w:val="1"/>
      <w:numFmt w:val="decimal"/>
      <w:lvlText w:val="%1."/>
      <w:lvlJc w:val="left"/>
      <w:pPr>
        <w:ind w:left="540" w:hanging="280"/>
      </w:pPr>
    </w:lvl>
  </w:abstractNum>
  <w:abstractNum w:abstractNumId="41" w15:restartNumberingAfterBreak="0">
    <w:multiLevelType w:val="hybridMultilevel"/>
    <w:lvl w:ilvl="0" w15:tentative="1">
      <w:start w:val="1"/>
      <w:numFmt w:val="decimal"/>
      <w:lvlText w:val="%1."/>
      <w:lvlJc w:val="left"/>
      <w:pPr>
        <w:ind w:left="540" w:hanging="280"/>
      </w:pPr>
    </w:lvl>
  </w:abstractNum>
  <w:abstractNum w:abstractNumId="4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443152"/>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4431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Category Reset — Outreach Journey So Far (Annexure)</dc:title>
  <dc:creator>Wiom</dc:creator>
  <cp:lastModifiedBy>Un-named</cp:lastModifiedBy>
  <cp:revision>1</cp:revision>
  <dcterms:created xsi:type="dcterms:W3CDTF">2026-05-21T05:32:53.341Z</dcterms:created>
  <dcterms:modified xsi:type="dcterms:W3CDTF">2026-05-21T05:32:53.342Z</dcterms:modified>
</cp:coreProperties>
</file>

<file path=docProps/custom.xml><?xml version="1.0" encoding="utf-8"?>
<Properties xmlns="http://schemas.openxmlformats.org/officeDocument/2006/custom-properties" xmlns:vt="http://schemas.openxmlformats.org/officeDocument/2006/docPropsVTypes"/>
</file>