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700"/>
      </w:pPr>
      <w:r>
        <w:t xml:space="preserve"/>
      </w:r>
    </w:p>
    <w:p>
      <w:pPr>
        <w:spacing w:after="40" w:before="100"/>
      </w:pPr>
      <w:r>
        <w:rPr>
          <w:rFonts w:ascii="Calibri" w:cs="Calibri" w:eastAsia="Calibri" w:hAnsi="Calibri"/>
          <w:b/>
          <w:bCs/>
          <w:color w:val="443152"/>
          <w:sz w:val="50"/>
          <w:szCs w:val="50"/>
        </w:rPr>
        <w:t xml:space="preserve">Performance Creative Framework</w:t>
      </w:r>
    </w:p>
    <w:p>
      <w:pPr>
        <w:spacing w:after="280" w:before="0"/>
      </w:pPr>
      <w:r>
        <w:rPr>
          <w:rFonts w:ascii="Calibri" w:cs="Calibri" w:eastAsia="Calibri" w:hAnsi="Calibri"/>
          <w:b/>
          <w:bCs/>
          <w:color w:val="D9008D"/>
          <w:sz w:val="30"/>
          <w:szCs w:val="30"/>
        </w:rPr>
        <w:t xml:space="preserve">The selection anchor for activation creative</w:t>
      </w:r>
    </w:p>
    <w:p>
      <w:pPr>
        <w:spacing w:after="600" w:before="0"/>
      </w:pPr>
      <w:r>
        <w:rPr>
          <w:rFonts w:ascii="Calibri" w:cs="Calibri" w:eastAsia="Calibri" w:hAnsi="Calibri"/>
          <w:i/>
          <w:iCs/>
          <w:color w:val="443152"/>
          <w:sz w:val="24"/>
          <w:szCs w:val="24"/>
        </w:rPr>
        <w:t xml:space="preserve">Gates decide what is allowed. Outcomes decide what is good. Tags explain why. First-recharge — read as a matched-cohort delta — is the arbiter.</w:t>
      </w:r>
    </w:p>
    <w:p>
      <w:pPr>
        <w:pBdr>
          <w:bottom w:val="single" w:color="D0D7DE" w:sz="6" w:space="1"/>
        </w:pBdr>
        <w:spacing w:after="80" w:before="80"/>
      </w:pPr>
      <w:r>
        <w:t xml:space="preserve"/>
      </w:r>
    </w:p>
    <w:p>
      <w:pPr>
        <w:spacing w:after="80" w:before="200"/>
      </w:pPr>
      <w:r>
        <w:rPr>
          <w:rFonts w:ascii="Calibri" w:cs="Calibri" w:eastAsia="Calibri" w:hAnsi="Calibri"/>
          <w:color w:val="5A6B80"/>
          <w:sz w:val="20"/>
          <w:szCs w:val="20"/>
        </w:rPr>
        <w:t xml:space="preserve">For: </w:t>
      </w:r>
      <w:r>
        <w:rPr>
          <w:rFonts w:ascii="Calibri" w:cs="Calibri" w:eastAsia="Calibri" w:hAnsi="Calibri"/>
          <w:b/>
          <w:bCs/>
          <w:color w:val="5A6B80"/>
          <w:sz w:val="20"/>
          <w:szCs w:val="20"/>
        </w:rPr>
        <w:t xml:space="preserve">Guneet (Growth Marketing) + external expert reviewer</w:t>
      </w:r>
    </w:p>
    <w:p>
      <w:pPr>
        <w:spacing w:after="80" w:before="0"/>
      </w:pPr>
      <w:r>
        <w:rPr>
          <w:rFonts w:ascii="Calibri" w:cs="Calibri" w:eastAsia="Calibri" w:hAnsi="Calibri"/>
          <w:color w:val="5A6B80"/>
          <w:sz w:val="20"/>
          <w:szCs w:val="20"/>
        </w:rPr>
        <w:t xml:space="preserve">Scope: </w:t>
      </w:r>
      <w:r>
        <w:rPr>
          <w:rFonts w:ascii="Calibri" w:cs="Calibri" w:eastAsia="Calibri" w:hAnsi="Calibri"/>
          <w:b/>
          <w:bCs/>
          <w:color w:val="5A6B80"/>
          <w:sz w:val="20"/>
          <w:szCs w:val="20"/>
        </w:rPr>
        <w:t xml:space="preserve">Activation / performance creative only. Top-of-funnel category creative is owned separately and governed elsewhere.</w:t>
      </w:r>
    </w:p>
    <w:p>
      <w:pPr>
        <w:spacing w:after="80" w:before="0"/>
      </w:pPr>
      <w:r>
        <w:rPr>
          <w:rFonts w:ascii="Calibri" w:cs="Calibri" w:eastAsia="Calibri" w:hAnsi="Calibri"/>
          <w:color w:val="5A6B80"/>
          <w:sz w:val="20"/>
          <w:szCs w:val="20"/>
        </w:rPr>
        <w:t xml:space="preserve">Status: </w:t>
      </w:r>
      <w:r>
        <w:rPr>
          <w:rFonts w:ascii="Calibri" w:cs="Calibri" w:eastAsia="Calibri" w:hAnsi="Calibri"/>
          <w:b/>
          <w:bCs/>
          <w:color w:val="5A6B80"/>
          <w:sz w:val="20"/>
          <w:szCs w:val="20"/>
        </w:rPr>
        <w:t xml:space="preserve">v0.9 — operating doc, lockable now; 5 items to close for v1.0</w:t>
      </w:r>
    </w:p>
    <w:p>
      <w:pPr>
        <w:spacing w:before="0"/>
      </w:pPr>
      <w:r>
        <w:rPr>
          <w:rFonts w:ascii="Calibri" w:cs="Calibri" w:eastAsia="Calibri" w:hAnsi="Calibri"/>
          <w:color w:val="5A6B80"/>
          <w:sz w:val="20"/>
          <w:szCs w:val="20"/>
        </w:rPr>
        <w:t xml:space="preserve">Subordinate to: </w:t>
      </w:r>
      <w:r>
        <w:rPr>
          <w:rFonts w:ascii="Calibri" w:cs="Calibri" w:eastAsia="Calibri" w:hAnsi="Calibri"/>
          <w:b/>
          <w:bCs/>
          <w:color w:val="5A6B80"/>
          <w:sz w:val="20"/>
          <w:szCs w:val="20"/>
        </w:rPr>
        <w:t xml:space="preserve">Growth Function doc · Performance Marketing Principles · compound metric (qualified bookings × first-recharge)</w:t>
      </w:r>
    </w:p>
    <w:p>
      <w:r>
        <w:br w:type="page"/>
      </w:r>
    </w:p>
    <w:p>
      <w:pPr>
        <w:pStyle w:val="Heading1"/>
        <w:spacing w:after="200" w:before="360"/>
      </w:pPr>
      <w:r>
        <w:rPr>
          <w:rFonts w:ascii="Calibri" w:cs="Calibri" w:eastAsia="Calibri" w:hAnsi="Calibri"/>
          <w:b/>
          <w:bCs/>
          <w:color w:val="443152"/>
          <w:sz w:val="34"/>
          <w:szCs w:val="34"/>
        </w:rPr>
        <w:t xml:space="preserve">Why read this</w:t>
      </w:r>
    </w:p>
    <w:p>
      <w:pPr>
        <w:spacing w:after="100" w:before="100" w:line="320"/>
      </w:pPr>
      <w:r>
        <w:rPr>
          <w:rFonts w:ascii="Calibri" w:cs="Calibri" w:eastAsia="Calibri" w:hAnsi="Calibri"/>
          <w:color w:val="222222"/>
          <w:sz w:val="22"/>
          <w:szCs w:val="22"/>
        </w:rPr>
        <w:t xml:space="preserve">This framework is the anchor for how Wiom rejects, iterates on, and scales ACTIVATION creative. It exists because the team needs one shared, unambiguous rule for which creatives live and die — and because the obvious approach (tag ads by format/platform and scale what wins on CTR) systematically selects creative that converts cheaply and churns at first recharge. That is the exact failure the category reset was built to prevent.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EF2F7" w:sz="4"/>
              <w:left w:val="single" w:color="5A6B80" w:sz="24"/>
              <w:bottom w:val="single" w:color="EEF2F7" w:sz="4"/>
              <w:right w:val="single" w:color="EEF2F7" w:sz="4"/>
            </w:tcBorders>
            <w:shd w:fill="EEF2F7" w:val="clear"/>
            <w:tcMar>
              <w:top w:type="dxa" w:w="120"/>
              <w:left w:type="dxa" w:w="220"/>
              <w:bottom w:type="dxa" w:w="120"/>
              <w:right w:type="dxa" w:w="200"/>
            </w:tcMar>
          </w:tcPr>
          <w:p>
            <w:pPr>
              <w:spacing w:after="60" w:before="40"/>
            </w:pPr>
            <w:r>
              <w:rPr>
                <w:rFonts w:ascii="Calibri" w:cs="Calibri" w:eastAsia="Calibri" w:hAnsi="Calibri"/>
                <w:b/>
                <w:bCs/>
                <w:color w:val="5A6B80"/>
                <w:sz w:val="18"/>
                <w:szCs w:val="18"/>
              </w:rPr>
              <w:t xml:space="preserve">NOTE</w:t>
            </w:r>
          </w:p>
          <w:p>
            <w:pPr>
              <w:spacing w:after="40" w:before="40" w:line="300"/>
            </w:pPr>
            <w:r>
              <w:rPr>
                <w:rFonts w:ascii="Calibri" w:cs="Calibri" w:eastAsia="Calibri" w:hAnsi="Calibri"/>
                <w:color w:val="222222"/>
                <w:sz w:val="22"/>
                <w:szCs w:val="22"/>
              </w:rPr>
              <w:t xml:space="preserve">Scope. This framework governs activation / performance creative — creative whose job is to capture in-market demand and convert it into recharge-quality bookings. Top-of-funnel category-building creative is owned by the upper-funnel / brand function and is judged on category-memory outcomes, not on the conversion ladder here. The two share the gates (§3); they differ on outcomes. This document is about activation.</w:t>
            </w:r>
          </w:p>
        </w:tc>
      </w:tr>
    </w:tbl>
    <w:p>
      <w:pPr>
        <w:spacing w:after="100" w:before="100" w:line="320"/>
      </w:pPr>
      <w:r>
        <w:rPr>
          <w:rFonts w:ascii="Calibri" w:cs="Calibri" w:eastAsia="Calibri" w:hAnsi="Calibri"/>
          <w:color w:val="222222"/>
          <w:sz w:val="22"/>
          <w:szCs w:val="22"/>
        </w:rPr>
        <w:t xml:space="preserve">v0.9 incorporates the external review: it sharpens the first-recharge arbiter to remove the operational confound, adds test-design discipline for collinear variables, orders the protagonist values by trust proximity, and scopes the framework explicitly to activation so it does not over-index recharge against creative whose job is memory.</w:t>
      </w:r>
    </w:p>
    <w:p>
      <w:pPr>
        <w:pStyle w:val="Heading2"/>
        <w:spacing w:after="140" w:before="280"/>
      </w:pPr>
      <w:r>
        <w:rPr>
          <w:rFonts w:ascii="Calibri" w:cs="Calibri" w:eastAsia="Calibri" w:hAnsi="Calibri"/>
          <w:b/>
          <w:bCs/>
          <w:color w:val="443152"/>
          <w:sz w:val="27"/>
          <w:szCs w:val="27"/>
        </w:rPr>
        <w:t xml:space="preserve">In 60 seconds</w:t>
      </w:r>
    </w:p>
    <w:p>
      <w:pPr>
        <w:pStyle w:val="ListParagraph"/>
        <w:numPr>
          <w:ilvl w:val="0"/>
          <w:numId w:val="2"/>
        </w:numPr>
        <w:spacing w:after="80" w:before="80" w:line="320"/>
      </w:pPr>
      <w:r>
        <w:rPr>
          <w:rFonts w:ascii="Calibri" w:cs="Calibri" w:eastAsia="Calibri" w:hAnsi="Calibri"/>
          <w:b/>
          <w:bCs/>
          <w:color w:val="222222"/>
          <w:sz w:val="22"/>
          <w:szCs w:val="22"/>
        </w:rPr>
        <w:t xml:space="preserve">Tagging is not selection.</w:t>
      </w:r>
      <w:r>
        <w:rPr>
          <w:rFonts w:ascii="Calibri" w:cs="Calibri" w:eastAsia="Calibri" w:hAnsi="Calibri"/>
          <w:color w:val="222222"/>
          <w:sz w:val="22"/>
          <w:szCs w:val="22"/>
        </w:rPr>
        <w:t xml:space="preserve"> A vocabulary that describes an ad cannot decide whether to keep it. Description needs gates and outcomes bolted on. This framework keeps them separate and joins them with an explicit decision rule.</w:t>
      </w:r>
    </w:p>
    <w:p>
      <w:pPr>
        <w:pStyle w:val="ListParagraph"/>
        <w:numPr>
          <w:ilvl w:val="0"/>
          <w:numId w:val="2"/>
        </w:numPr>
        <w:spacing w:after="80" w:before="80" w:line="320"/>
      </w:pPr>
      <w:r>
        <w:rPr>
          <w:rFonts w:ascii="Calibri" w:cs="Calibri" w:eastAsia="Calibri" w:hAnsi="Calibri"/>
          <w:b/>
          <w:bCs/>
          <w:color w:val="222222"/>
          <w:sz w:val="22"/>
          <w:szCs w:val="22"/>
        </w:rPr>
        <w:t xml:space="preserve">Four layers, in order.</w:t>
      </w:r>
      <w:r>
        <w:rPr>
          <w:rFonts w:ascii="Calibri" w:cs="Calibri" w:eastAsia="Calibri" w:hAnsi="Calibri"/>
          <w:color w:val="222222"/>
          <w:sz w:val="22"/>
          <w:szCs w:val="22"/>
        </w:rPr>
        <w:t xml:space="preserve"> Gates (binary pass/fail) → Test Variables (what you tag and test) → Determined Parameters (set by context) → Outcome Ladder (how you score).</w:t>
      </w:r>
    </w:p>
    <w:p>
      <w:pPr>
        <w:pStyle w:val="ListParagraph"/>
        <w:numPr>
          <w:ilvl w:val="0"/>
          <w:numId w:val="2"/>
        </w:numPr>
        <w:spacing w:after="80" w:before="80" w:line="320"/>
      </w:pPr>
      <w:r>
        <w:rPr>
          <w:rFonts w:ascii="Calibri" w:cs="Calibri" w:eastAsia="Calibri" w:hAnsi="Calibri"/>
          <w:b/>
          <w:bCs/>
          <w:color w:val="222222"/>
          <w:sz w:val="22"/>
          <w:szCs w:val="22"/>
        </w:rPr>
        <w:t xml:space="preserve">First-recharge is the arbiter — read as a delta.</w:t>
      </w:r>
      <w:r>
        <w:rPr>
          <w:rFonts w:ascii="Calibri" w:cs="Calibri" w:eastAsia="Calibri" w:hAnsi="Calibri"/>
          <w:color w:val="222222"/>
          <w:sz w:val="22"/>
          <w:szCs w:val="22"/>
        </w:rPr>
        <w:t xml:space="preserve"> Judged as a matched-cohort delta (same zones/period/conditions) so operational noise cancels, plus an upstream comprehension proxy for a fast signal. CTR is a leading indicator treated with suspicion.</w:t>
      </w:r>
    </w:p>
    <w:p>
      <w:pPr>
        <w:pStyle w:val="ListParagraph"/>
        <w:numPr>
          <w:ilvl w:val="0"/>
          <w:numId w:val="2"/>
        </w:numPr>
        <w:spacing w:after="80" w:before="80" w:line="320"/>
      </w:pPr>
      <w:r>
        <w:rPr>
          <w:rFonts w:ascii="Calibri" w:cs="Calibri" w:eastAsia="Calibri" w:hAnsi="Calibri"/>
          <w:b/>
          <w:bCs/>
          <w:color w:val="222222"/>
          <w:sz w:val="22"/>
          <w:szCs w:val="22"/>
        </w:rPr>
        <w:t xml:space="preserve">Category integrity is a gate, not a variable.</w:t>
      </w:r>
      <w:r>
        <w:rPr>
          <w:rFonts w:ascii="Calibri" w:cs="Calibri" w:eastAsia="Calibri" w:hAnsi="Calibri"/>
          <w:color w:val="222222"/>
          <w:sz w:val="22"/>
          <w:szCs w:val="22"/>
        </w:rPr>
        <w:t xml:space="preserve"> You do not A/B test the “ghar” anchor. A contaminating creative that converts is still rejected.</w:t>
      </w:r>
    </w:p>
    <w:p>
      <w:pPr>
        <w:pStyle w:val="ListParagraph"/>
        <w:numPr>
          <w:ilvl w:val="0"/>
          <w:numId w:val="2"/>
        </w:numPr>
        <w:spacing w:after="80" w:before="80" w:line="320"/>
      </w:pPr>
      <w:r>
        <w:rPr>
          <w:rFonts w:ascii="Calibri" w:cs="Calibri" w:eastAsia="Calibri" w:hAnsi="Calibri"/>
          <w:b/>
          <w:bCs/>
          <w:color w:val="222222"/>
          <w:sz w:val="22"/>
          <w:szCs w:val="22"/>
        </w:rPr>
        <w:t xml:space="preserve">Single-variable, not combinations.</w:t>
      </w:r>
      <w:r>
        <w:rPr>
          <w:rFonts w:ascii="Calibri" w:cs="Calibri" w:eastAsia="Calibri" w:hAnsi="Calibri"/>
          <w:color w:val="222222"/>
          <w:sz w:val="22"/>
          <w:szCs w:val="22"/>
        </w:rPr>
        <w:t xml:space="preserve"> At current volume, combination significance is unaffordable. Tags drive retrospective pattern detection; tests change one variable at a time.</w:t>
      </w:r>
    </w:p>
    <w:p>
      <w:r>
        <w:br w:type="page"/>
      </w:r>
    </w:p>
    <w:p>
      <w:pPr>
        <w:spacing w:after="80" w:before="200"/>
      </w:pPr>
      <w:r>
        <w:rPr>
          <w:rFonts w:ascii="Calibri" w:cs="Calibri" w:eastAsia="Calibri" w:hAnsi="Calibri"/>
          <w:b/>
          <w:bCs/>
          <w:color w:val="443152"/>
          <w:sz w:val="22"/>
          <w:szCs w:val="22"/>
        </w:rPr>
        <w:t xml:space="preserve">Note for the reviewer</w:t>
      </w:r>
    </w:p>
    <w:p>
      <w:pPr>
        <w:pBdr>
          <w:left w:val="single" w:color="D9008D" w:sz="18" w:space="12"/>
        </w:pBdr>
        <w:spacing w:after="200" w:before="80" w:line="320"/>
        <w:ind w:left="360"/>
      </w:pPr>
      <w:r>
        <w:rPr>
          <w:rFonts w:ascii="Calibri" w:cs="Calibri" w:eastAsia="Calibri" w:hAnsi="Calibri"/>
          <w:i/>
          <w:iCs/>
          <w:color w:val="222222"/>
          <w:sz w:val="22"/>
          <w:szCs w:val="22"/>
        </w:rPr>
        <w:t xml:space="preserve">Two questions deserve your sharpest attention. First: with first-recharge read as a matched-cohort delta plus an upstream comprehension proxy, is the operational confound adequately removed — or does residual zone-to-zone variation still distort attribution at our volume? Second: are the two gates specified tightly enough that two reviewers reject the same creatives? The value lists are refinable; the architecture and the arbiter are the things to get right.</w:t>
      </w:r>
    </w:p>
    <w:p>
      <w:pPr>
        <w:pBdr>
          <w:bottom w:val="single" w:color="D0D7DE" w:sz="6" w:space="1"/>
        </w:pBdr>
        <w:spacing w:after="80" w:before="80"/>
      </w:pPr>
      <w:r>
        <w:t xml:space="preserve"/>
      </w:r>
    </w:p>
    <w:p>
      <w:r>
        <w:br w:type="page"/>
      </w:r>
    </w:p>
    <w:p>
      <w:pPr>
        <w:pStyle w:val="Heading1"/>
        <w:spacing w:after="200" w:before="360"/>
      </w:pPr>
      <w:r>
        <w:rPr>
          <w:rFonts w:ascii="Calibri" w:cs="Calibri" w:eastAsia="Calibri" w:hAnsi="Calibri"/>
          <w:b/>
          <w:bCs/>
          <w:color w:val="443152"/>
          <w:sz w:val="34"/>
          <w:szCs w:val="34"/>
        </w:rPr>
        <w:t xml:space="preserve">§1 — The problem this framework solves</w:t>
      </w:r>
    </w:p>
    <w:p>
      <w:pPr>
        <w:spacing w:after="100" w:before="100" w:line="320"/>
      </w:pPr>
      <w:r>
        <w:rPr>
          <w:rFonts w:ascii="Calibri" w:cs="Calibri" w:eastAsia="Calibri" w:hAnsi="Calibri"/>
          <w:color w:val="222222"/>
          <w:sz w:val="22"/>
          <w:szCs w:val="22"/>
        </w:rPr>
        <w:t xml:space="preserve">Activation creative analysis usually organizes ads by campaign or platform and scales whatever wins on the fastest-moving metric — click-through rate. For a company harvesting demand in an existing category, that is roughly fine. For Wiom, creating a category, it is dangerous.</w:t>
      </w:r>
    </w:p>
    <w:p>
      <w:pPr>
        <w:spacing w:after="100" w:before="100" w:line="320"/>
      </w:pPr>
      <w:r>
        <w:rPr>
          <w:rFonts w:ascii="Calibri" w:cs="Calibri" w:eastAsia="Calibri" w:hAnsi="Calibri"/>
          <w:color w:val="222222"/>
          <w:sz w:val="22"/>
          <w:szCs w:val="22"/>
        </w:rPr>
        <w:t xml:space="preserve">A creative can win on CTR by anchoring to “cheap WiFi” — the frame the category reset abandoned — and convert users who book on a WiFi expectation and churn the moment they meet the recharge model. Booking volume rises; first-recharge conversion falls; the mohalla absorbs anti-WOM. The creative “worked” and poisoned the system simultaneously.</w:t>
      </w:r>
    </w:p>
    <w:p>
      <w:pPr>
        <w:spacing w:after="100" w:before="100" w:line="320"/>
      </w:pPr>
      <w:r>
        <w:rPr>
          <w:rFonts w:ascii="Calibri" w:cs="Calibri" w:eastAsia="Calibri" w:hAnsi="Calibri"/>
          <w:color w:val="222222"/>
          <w:sz w:val="22"/>
          <w:szCs w:val="22"/>
        </w:rPr>
        <w:t xml:space="preserve">So the framework must reject contaminating creative before it competes on performance, and judge surviving creative on how far down the funnel it carries users — to first recharge — not on how high it scores at the 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EF2F7" w:sz="4"/>
              <w:left w:val="single" w:color="5A6B80" w:sz="24"/>
              <w:bottom w:val="single" w:color="EEF2F7" w:sz="4"/>
              <w:right w:val="single" w:color="EEF2F7" w:sz="4"/>
            </w:tcBorders>
            <w:shd w:fill="EEF2F7" w:val="clear"/>
            <w:tcMar>
              <w:top w:type="dxa" w:w="120"/>
              <w:left w:type="dxa" w:w="220"/>
              <w:bottom w:type="dxa" w:w="120"/>
              <w:right w:type="dxa" w:w="200"/>
            </w:tcMar>
          </w:tcPr>
          <w:p>
            <w:pPr>
              <w:spacing w:after="60" w:before="40"/>
            </w:pPr>
            <w:r>
              <w:rPr>
                <w:rFonts w:ascii="Calibri" w:cs="Calibri" w:eastAsia="Calibri" w:hAnsi="Calibri"/>
                <w:b/>
                <w:bCs/>
                <w:color w:val="5A6B80"/>
                <w:sz w:val="18"/>
                <w:szCs w:val="18"/>
              </w:rPr>
              <w:t xml:space="preserve">NOTE</w:t>
            </w:r>
          </w:p>
          <w:p>
            <w:pPr>
              <w:spacing w:after="40" w:before="40" w:line="300"/>
            </w:pPr>
            <w:r>
              <w:rPr>
                <w:rFonts w:ascii="Calibri" w:cs="Calibri" w:eastAsia="Calibri" w:hAnsi="Calibri"/>
                <w:color w:val="222222"/>
                <w:sz w:val="22"/>
                <w:szCs w:val="22"/>
              </w:rPr>
              <w:t xml:space="preserve">A tagging framework describes what an ad is; a selection framework decides whether to keep it. Tags describe. Gates and outcomes decide. Both are needed; they are different objects and are kept structurally separate.</w:t>
            </w:r>
          </w:p>
        </w:tc>
      </w:tr>
    </w:tbl>
    <w:p>
      <w:pPr>
        <w:pStyle w:val="Heading1"/>
        <w:spacing w:after="200" w:before="360"/>
      </w:pPr>
      <w:r>
        <w:rPr>
          <w:rFonts w:ascii="Calibri" w:cs="Calibri" w:eastAsia="Calibri" w:hAnsi="Calibri"/>
          <w:b/>
          <w:bCs/>
          <w:color w:val="443152"/>
          <w:sz w:val="34"/>
          <w:szCs w:val="34"/>
        </w:rPr>
        <w:t xml:space="preserve">§2 — The four-layer architecture</w:t>
      </w:r>
    </w:p>
    <w:p>
      <w:pPr>
        <w:spacing w:after="100" w:before="100" w:line="320"/>
      </w:pPr>
      <w:r>
        <w:rPr>
          <w:rFonts w:ascii="Calibri" w:cs="Calibri" w:eastAsia="Calibri" w:hAnsi="Calibri"/>
          <w:color w:val="222222"/>
          <w:sz w:val="22"/>
          <w:szCs w:val="22"/>
        </w:rPr>
        <w:t xml:space="preserve">Every activation creative passes through four layers in order. A creative that fails Layer 1 never reaches Layer 4, no matter how well it would have scored.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200"/>
        <w:gridCol w:w="3060"/>
      </w:tblGrid>
      <w:tr>
        <w:trPr>
          <w:tblHeader/>
        </w:trPr>
        <w:tc>
          <w:tcPr>
            <w:tcW w:type="dxa" w:w="2100"/>
            <w:tcBorders>
              <w:top w:val="single" w:color="D0D7DE" w:sz="4"/>
              <w:left w:val="single" w:color="D0D7DE" w:sz="4"/>
              <w:bottom w:val="single" w:color="D0D7DE" w:sz="4"/>
              <w:right w:val="single" w:color="D0D7DE" w:sz="4"/>
            </w:tcBorders>
            <w:shd w:fill="443152" w:val="clear"/>
            <w:tcMar>
              <w:top w:type="dxa" w:w="100"/>
              <w:left w:type="dxa" w:w="140"/>
              <w:bottom w:type="dxa" w:w="100"/>
              <w:right w:type="dxa" w:w="140"/>
            </w:tcMar>
          </w:tcPr>
          <w:p>
            <w:r>
              <w:rPr>
                <w:rFonts w:ascii="Calibri" w:cs="Calibri" w:eastAsia="Calibri" w:hAnsi="Calibri"/>
                <w:b/>
                <w:bCs/>
                <w:color w:val="FFFFFF"/>
                <w:sz w:val="20"/>
                <w:szCs w:val="20"/>
              </w:rPr>
              <w:t xml:space="preserve">Layer</w:t>
            </w:r>
          </w:p>
        </w:tc>
        <w:tc>
          <w:tcPr>
            <w:tcW w:type="dxa" w:w="4200"/>
            <w:tcBorders>
              <w:top w:val="single" w:color="D0D7DE" w:sz="4"/>
              <w:left w:val="single" w:color="D0D7DE" w:sz="4"/>
              <w:bottom w:val="single" w:color="D0D7DE" w:sz="4"/>
              <w:right w:val="single" w:color="D0D7DE" w:sz="4"/>
            </w:tcBorders>
            <w:shd w:fill="443152" w:val="clear"/>
            <w:tcMar>
              <w:top w:type="dxa" w:w="100"/>
              <w:left w:type="dxa" w:w="140"/>
              <w:bottom w:type="dxa" w:w="100"/>
              <w:right w:type="dxa" w:w="140"/>
            </w:tcMar>
          </w:tcPr>
          <w:p>
            <w:r>
              <w:rPr>
                <w:rFonts w:ascii="Calibri" w:cs="Calibri" w:eastAsia="Calibri" w:hAnsi="Calibri"/>
                <w:b/>
                <w:bCs/>
                <w:color w:val="FFFFFF"/>
                <w:sz w:val="20"/>
                <w:szCs w:val="20"/>
              </w:rPr>
              <w:t xml:space="preserve">What it is</w:t>
            </w:r>
          </w:p>
        </w:tc>
        <w:tc>
          <w:tcPr>
            <w:tcW w:type="dxa" w:w="3060"/>
            <w:tcBorders>
              <w:top w:val="single" w:color="D0D7DE" w:sz="4"/>
              <w:left w:val="single" w:color="D0D7DE" w:sz="4"/>
              <w:bottom w:val="single" w:color="D0D7DE" w:sz="4"/>
              <w:right w:val="single" w:color="D0D7DE" w:sz="4"/>
            </w:tcBorders>
            <w:shd w:fill="443152" w:val="clear"/>
            <w:tcMar>
              <w:top w:type="dxa" w:w="100"/>
              <w:left w:type="dxa" w:w="140"/>
              <w:bottom w:type="dxa" w:w="100"/>
              <w:right w:type="dxa" w:w="140"/>
            </w:tcMar>
          </w:tcPr>
          <w:p>
            <w:r>
              <w:rPr>
                <w:rFonts w:ascii="Calibri" w:cs="Calibri" w:eastAsia="Calibri" w:hAnsi="Calibri"/>
                <w:b/>
                <w:bCs/>
                <w:color w:val="FFFFFF"/>
                <w:sz w:val="20"/>
                <w:szCs w:val="20"/>
              </w:rPr>
              <w:t xml:space="preserve">Logical operation</w:t>
            </w:r>
          </w:p>
        </w:tc>
      </w:tr>
      <w:tr>
        <w:tc>
          <w:tcPr>
            <w:tcW w:type="dxa" w:w="2100"/>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r>
              <w:rPr>
                <w:rFonts w:ascii="Calibri" w:cs="Calibri" w:eastAsia="Calibri" w:hAnsi="Calibri"/>
                <w:b/>
                <w:bCs/>
                <w:color w:val="222222"/>
                <w:sz w:val="20"/>
                <w:szCs w:val="20"/>
              </w:rPr>
              <w:t xml:space="preserve">1. Gates</w:t>
            </w:r>
          </w:p>
        </w:tc>
        <w:tc>
          <w:tcPr>
            <w:tcW w:type="dxa" w:w="4200"/>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r>
              <w:rPr>
                <w:rFonts w:ascii="Calibri" w:cs="Calibri" w:eastAsia="Calibri" w:hAnsi="Calibri"/>
                <w:color w:val="222222"/>
                <w:sz w:val="20"/>
                <w:szCs w:val="20"/>
              </w:rPr>
              <w:t xml:space="preserve">Category-frame integrity + contamination check</w:t>
            </w:r>
          </w:p>
        </w:tc>
        <w:tc>
          <w:tcPr>
            <w:tcW w:type="dxa" w:w="3060"/>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r>
              <w:rPr>
                <w:rFonts w:ascii="Calibri" w:cs="Calibri" w:eastAsia="Calibri" w:hAnsi="Calibri"/>
                <w:color w:val="222222"/>
                <w:sz w:val="20"/>
                <w:szCs w:val="20"/>
              </w:rPr>
              <w:t xml:space="preserve">Binary pass/fail. Failure = rejection, regardless of performance.</w:t>
            </w:r>
          </w:p>
        </w:tc>
      </w:tr>
      <w:tr>
        <w:tc>
          <w:tcPr>
            <w:tcW w:type="dxa" w:w="2100"/>
            <w:tcBorders>
              <w:top w:val="single" w:color="D0D7DE" w:sz="4"/>
              <w:left w:val="single" w:color="D0D7DE" w:sz="4"/>
              <w:bottom w:val="single" w:color="D0D7DE" w:sz="4"/>
              <w:right w:val="single" w:color="D0D7DE" w:sz="4"/>
            </w:tcBorders>
            <w:shd w:fill="FAFBFD" w:val="clear"/>
            <w:tcMar>
              <w:top w:type="dxa" w:w="90"/>
              <w:left w:type="dxa" w:w="140"/>
              <w:bottom w:type="dxa" w:w="90"/>
              <w:right w:type="dxa" w:w="140"/>
            </w:tcMar>
          </w:tcPr>
          <w:p>
            <w:r>
              <w:rPr>
                <w:rFonts w:ascii="Calibri" w:cs="Calibri" w:eastAsia="Calibri" w:hAnsi="Calibri"/>
                <w:b/>
                <w:bCs/>
                <w:color w:val="222222"/>
                <w:sz w:val="20"/>
                <w:szCs w:val="20"/>
              </w:rPr>
              <w:t xml:space="preserve">2. Test Variables</w:t>
            </w:r>
          </w:p>
        </w:tc>
        <w:tc>
          <w:tcPr>
            <w:tcW w:type="dxa" w:w="4200"/>
            <w:tcBorders>
              <w:top w:val="single" w:color="D0D7DE" w:sz="4"/>
              <w:left w:val="single" w:color="D0D7DE" w:sz="4"/>
              <w:bottom w:val="single" w:color="D0D7DE" w:sz="4"/>
              <w:right w:val="single" w:color="D0D7DE" w:sz="4"/>
            </w:tcBorders>
            <w:shd w:fill="FAFBFD" w:val="clear"/>
            <w:tcMar>
              <w:top w:type="dxa" w:w="90"/>
              <w:left w:type="dxa" w:w="140"/>
              <w:bottom w:type="dxa" w:w="90"/>
              <w:right w:type="dxa" w:w="140"/>
            </w:tcMar>
          </w:tcPr>
          <w:p>
            <w:r>
              <w:rPr>
                <w:rFonts w:ascii="Calibri" w:cs="Calibri" w:eastAsia="Calibri" w:hAnsi="Calibri"/>
                <w:color w:val="222222"/>
                <w:sz w:val="20"/>
                <w:szCs w:val="20"/>
              </w:rPr>
              <w:t xml:space="preserve">Story structure, protagonist &amp; credibility, need-state, format</w:t>
            </w:r>
          </w:p>
        </w:tc>
        <w:tc>
          <w:tcPr>
            <w:tcW w:type="dxa" w:w="3060"/>
            <w:tcBorders>
              <w:top w:val="single" w:color="D0D7DE" w:sz="4"/>
              <w:left w:val="single" w:color="D0D7DE" w:sz="4"/>
              <w:bottom w:val="single" w:color="D0D7DE" w:sz="4"/>
              <w:right w:val="single" w:color="D0D7DE" w:sz="4"/>
            </w:tcBorders>
            <w:shd w:fill="FAFBFD" w:val="clear"/>
            <w:tcMar>
              <w:top w:type="dxa" w:w="90"/>
              <w:left w:type="dxa" w:w="140"/>
              <w:bottom w:type="dxa" w:w="90"/>
              <w:right w:type="dxa" w:w="140"/>
            </w:tcMar>
          </w:tcPr>
          <w:p>
            <w:r>
              <w:rPr>
                <w:rFonts w:ascii="Calibri" w:cs="Calibri" w:eastAsia="Calibri" w:hAnsi="Calibri"/>
                <w:color w:val="222222"/>
                <w:sz w:val="20"/>
                <w:szCs w:val="20"/>
              </w:rPr>
              <w:t xml:space="preserve">Tagged on every creative. Tested one variable at a time.</w:t>
            </w:r>
          </w:p>
        </w:tc>
      </w:tr>
      <w:tr>
        <w:tc>
          <w:tcPr>
            <w:tcW w:type="dxa" w:w="2100"/>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r>
              <w:rPr>
                <w:rFonts w:ascii="Calibri" w:cs="Calibri" w:eastAsia="Calibri" w:hAnsi="Calibri"/>
                <w:b/>
                <w:bCs/>
                <w:color w:val="222222"/>
                <w:sz w:val="20"/>
                <w:szCs w:val="20"/>
              </w:rPr>
              <w:t xml:space="preserve">3. Determined Parameters</w:t>
            </w:r>
          </w:p>
        </w:tc>
        <w:tc>
          <w:tcPr>
            <w:tcW w:type="dxa" w:w="4200"/>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r>
              <w:rPr>
                <w:rFonts w:ascii="Calibri" w:cs="Calibri" w:eastAsia="Calibri" w:hAnsi="Calibri"/>
                <w:color w:val="222222"/>
                <w:sz w:val="20"/>
                <w:szCs w:val="20"/>
              </w:rPr>
              <w:t xml:space="preserve">CTA intensity</w:t>
            </w:r>
          </w:p>
        </w:tc>
        <w:tc>
          <w:tcPr>
            <w:tcW w:type="dxa" w:w="3060"/>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r>
              <w:rPr>
                <w:rFonts w:ascii="Calibri" w:cs="Calibri" w:eastAsia="Calibri" w:hAnsi="Calibri"/>
                <w:color w:val="222222"/>
                <w:sz w:val="20"/>
                <w:szCs w:val="20"/>
              </w:rPr>
              <w:t xml:space="preserve">Set by readiness stage. Not optimized as a creative choice.</w:t>
            </w:r>
          </w:p>
        </w:tc>
      </w:tr>
      <w:tr>
        <w:tc>
          <w:tcPr>
            <w:tcW w:type="dxa" w:w="2100"/>
            <w:tcBorders>
              <w:top w:val="single" w:color="D0D7DE" w:sz="4"/>
              <w:left w:val="single" w:color="D0D7DE" w:sz="4"/>
              <w:bottom w:val="single" w:color="D0D7DE" w:sz="4"/>
              <w:right w:val="single" w:color="D0D7DE" w:sz="4"/>
            </w:tcBorders>
            <w:shd w:fill="FAFBFD" w:val="clear"/>
            <w:tcMar>
              <w:top w:type="dxa" w:w="90"/>
              <w:left w:type="dxa" w:w="140"/>
              <w:bottom w:type="dxa" w:w="90"/>
              <w:right w:type="dxa" w:w="140"/>
            </w:tcMar>
          </w:tcPr>
          <w:p>
            <w:r>
              <w:rPr>
                <w:rFonts w:ascii="Calibri" w:cs="Calibri" w:eastAsia="Calibri" w:hAnsi="Calibri"/>
                <w:b/>
                <w:bCs/>
                <w:color w:val="222222"/>
                <w:sz w:val="20"/>
                <w:szCs w:val="20"/>
              </w:rPr>
              <w:t xml:space="preserve">4. Outcome Ladder</w:t>
            </w:r>
          </w:p>
        </w:tc>
        <w:tc>
          <w:tcPr>
            <w:tcW w:type="dxa" w:w="4200"/>
            <w:tcBorders>
              <w:top w:val="single" w:color="D0D7DE" w:sz="4"/>
              <w:left w:val="single" w:color="D0D7DE" w:sz="4"/>
              <w:bottom w:val="single" w:color="D0D7DE" w:sz="4"/>
              <w:right w:val="single" w:color="D0D7DE" w:sz="4"/>
            </w:tcBorders>
            <w:shd w:fill="FAFBFD" w:val="clear"/>
            <w:tcMar>
              <w:top w:type="dxa" w:w="90"/>
              <w:left w:type="dxa" w:w="140"/>
              <w:bottom w:type="dxa" w:w="90"/>
              <w:right w:type="dxa" w:w="140"/>
            </w:tcMar>
          </w:tcPr>
          <w:p>
            <w:r>
              <w:rPr>
                <w:rFonts w:ascii="Calibri" w:cs="Calibri" w:eastAsia="Calibri" w:hAnsi="Calibri"/>
                <w:color w:val="222222"/>
                <w:sz w:val="20"/>
                <w:szCs w:val="20"/>
              </w:rPr>
              <w:t xml:space="preserve">CTR → install → booking → first-recharge (matched-cohort delta)</w:t>
            </w:r>
          </w:p>
        </w:tc>
        <w:tc>
          <w:tcPr>
            <w:tcW w:type="dxa" w:w="3060"/>
            <w:tcBorders>
              <w:top w:val="single" w:color="D0D7DE" w:sz="4"/>
              <w:left w:val="single" w:color="D0D7DE" w:sz="4"/>
              <w:bottom w:val="single" w:color="D0D7DE" w:sz="4"/>
              <w:right w:val="single" w:color="D0D7DE" w:sz="4"/>
            </w:tcBorders>
            <w:shd w:fill="FAFBFD" w:val="clear"/>
            <w:tcMar>
              <w:top w:type="dxa" w:w="90"/>
              <w:left w:type="dxa" w:w="140"/>
              <w:bottom w:type="dxa" w:w="90"/>
              <w:right w:type="dxa" w:w="140"/>
            </w:tcMar>
          </w:tcPr>
          <w:p>
            <w:r>
              <w:rPr>
                <w:rFonts w:ascii="Calibri" w:cs="Calibri" w:eastAsia="Calibri" w:hAnsi="Calibri"/>
                <w:color w:val="222222"/>
                <w:sz w:val="20"/>
                <w:szCs w:val="20"/>
              </w:rPr>
              <w:t xml:space="preserve">Fixed scoring. First-recharge delta is the terminal arbiter.</w:t>
            </w:r>
          </w:p>
        </w:tc>
      </w:tr>
    </w:tbl>
    <w:p>
      <w:pPr>
        <w:spacing w:before="120"/>
      </w:pPr>
      <w:r>
        <w:rPr>
          <w:rFonts w:ascii="Calibri" w:cs="Calibri" w:eastAsia="Calibri" w:hAnsi="Calibri"/>
          <w:color w:val="222222"/>
          <w:sz w:val="22"/>
          <w:szCs w:val="22"/>
        </w:rPr>
        <w:t xml:space="preserve"/>
      </w:r>
    </w:p>
    <w:p>
      <w:pPr>
        <w:spacing w:after="100" w:before="100" w:line="320"/>
      </w:pPr>
      <w:r>
        <w:rPr>
          <w:rFonts w:ascii="Calibri" w:cs="Calibri" w:eastAsia="Calibri" w:hAnsi="Calibri"/>
          <w:color w:val="222222"/>
          <w:sz w:val="22"/>
          <w:szCs w:val="22"/>
        </w:rPr>
        <w:t xml:space="preserve">The original seven-dimension proposal collapsed on scrutiny: category frame is a gate, not a variable; CTA intensity is determined by stage, not optimized; and hero and trust source are collinear for this audience (the real mother is simultaneously protagonist and credibility source), so they merge. What remains is cleaner and testable.</w:t>
      </w:r>
    </w:p>
    <w:p>
      <w:pPr>
        <w:pStyle w:val="Heading1"/>
        <w:spacing w:after="200" w:before="360"/>
      </w:pPr>
      <w:r>
        <w:rPr>
          <w:rFonts w:ascii="Calibri" w:cs="Calibri" w:eastAsia="Calibri" w:hAnsi="Calibri"/>
          <w:b/>
          <w:bCs/>
          <w:color w:val="443152"/>
          <w:sz w:val="34"/>
          <w:szCs w:val="34"/>
        </w:rPr>
        <w:t xml:space="preserve">§3 — Layer 1: Gates</w:t>
      </w:r>
    </w:p>
    <w:p>
      <w:pPr>
        <w:spacing w:after="100" w:before="100" w:line="320"/>
      </w:pPr>
      <w:r>
        <w:rPr>
          <w:rFonts w:ascii="Calibri" w:cs="Calibri" w:eastAsia="Calibri" w:hAnsi="Calibri"/>
          <w:color w:val="222222"/>
          <w:sz w:val="22"/>
          <w:szCs w:val="22"/>
        </w:rPr>
        <w:t xml:space="preserve">Two binary gates, applied before any performance evaluation. A creative that fails either is rejected outright — a contaminating ad that converts is still rejected, because the conversion is the problem, not the redemption. These gates apply to all creative, activation and top-of-funnel alike.</w:t>
      </w:r>
    </w:p>
    <w:p>
      <w:pPr>
        <w:pStyle w:val="Heading2"/>
        <w:spacing w:after="140" w:before="280"/>
      </w:pPr>
      <w:r>
        <w:rPr>
          <w:rFonts w:ascii="Calibri" w:cs="Calibri" w:eastAsia="Calibri" w:hAnsi="Calibri"/>
          <w:b/>
          <w:bCs/>
          <w:color w:val="443152"/>
          <w:sz w:val="27"/>
          <w:szCs w:val="27"/>
        </w:rPr>
        <w:t xml:space="preserve">Gate 1 — Category-frame integrity</w:t>
      </w:r>
    </w:p>
    <w:p>
      <w:pPr>
        <w:spacing w:after="100" w:before="100" w:line="320"/>
      </w:pPr>
      <w:r>
        <w:rPr>
          <w:rFonts w:ascii="Calibri" w:cs="Calibri" w:eastAsia="Calibri" w:hAnsi="Calibri"/>
          <w:color w:val="222222"/>
          <w:sz w:val="22"/>
          <w:szCs w:val="22"/>
        </w:rPr>
        <w:t xml:space="preserve">Passes only if all three hold:</w:t>
      </w:r>
    </w:p>
    <w:p>
      <w:pPr>
        <w:pStyle w:val="ListParagraph"/>
        <w:numPr>
          <w:ilvl w:val="0"/>
          <w:numId w:val="2"/>
        </w:numPr>
        <w:spacing w:after="60" w:before="60" w:line="320"/>
      </w:pPr>
      <w:r>
        <w:rPr>
          <w:rFonts w:ascii="Calibri" w:cs="Calibri" w:eastAsia="Calibri" w:hAnsi="Calibri"/>
          <w:b/>
          <w:bCs/>
          <w:color w:val="222222"/>
          <w:sz w:val="22"/>
          <w:szCs w:val="22"/>
        </w:rPr>
        <w:t xml:space="preserve">The “ghar” anchor is present.</w:t>
      </w:r>
      <w:r>
        <w:rPr>
          <w:rFonts w:ascii="Calibri" w:cs="Calibri" w:eastAsia="Calibri" w:hAnsi="Calibri"/>
          <w:color w:val="222222"/>
          <w:sz w:val="22"/>
          <w:szCs w:val="22"/>
        </w:rPr>
        <w:t xml:space="preserve"> Household / whole-home is explicit or unmistakable. Non-optional — recharge-alone drifts to mobile data, net-alone drifts to broadband.</w:t>
      </w:r>
    </w:p>
    <w:p>
      <w:pPr>
        <w:pStyle w:val="ListParagraph"/>
        <w:numPr>
          <w:ilvl w:val="0"/>
          <w:numId w:val="2"/>
        </w:numPr>
        <w:spacing w:after="60" w:before="60" w:line="320"/>
      </w:pPr>
      <w:r>
        <w:rPr>
          <w:rFonts w:ascii="Calibri" w:cs="Calibri" w:eastAsia="Calibri" w:hAnsi="Calibri"/>
          <w:b/>
          <w:bCs/>
          <w:color w:val="222222"/>
          <w:sz w:val="22"/>
          <w:szCs w:val="22"/>
        </w:rPr>
        <w:t xml:space="preserve">The recharge-shape is clear.</w:t>
      </w:r>
      <w:r>
        <w:rPr>
          <w:rFonts w:ascii="Calibri" w:cs="Calibri" w:eastAsia="Calibri" w:hAnsi="Calibri"/>
          <w:color w:val="222222"/>
          <w:sz w:val="22"/>
          <w:szCs w:val="22"/>
        </w:rPr>
        <w:t xml:space="preserve"> Pay-as-you-go / recharge behavior is conveyed, not buried.</w:t>
      </w:r>
    </w:p>
    <w:p>
      <w:pPr>
        <w:pStyle w:val="ListParagraph"/>
        <w:numPr>
          <w:ilvl w:val="0"/>
          <w:numId w:val="2"/>
        </w:numPr>
        <w:spacing w:after="60" w:before="60" w:line="320"/>
      </w:pPr>
      <w:r>
        <w:rPr>
          <w:rFonts w:ascii="Calibri" w:cs="Calibri" w:eastAsia="Calibri" w:hAnsi="Calibri"/>
          <w:b/>
          <w:bCs/>
          <w:color w:val="222222"/>
          <w:sz w:val="22"/>
          <w:szCs w:val="22"/>
        </w:rPr>
        <w:t xml:space="preserve">No frame drift.</w:t>
      </w:r>
      <w:r>
        <w:rPr>
          <w:rFonts w:ascii="Calibri" w:cs="Calibri" w:eastAsia="Calibri" w:hAnsi="Calibri"/>
          <w:color w:val="222222"/>
          <w:sz w:val="22"/>
          <w:szCs w:val="22"/>
        </w:rPr>
        <w:t xml:space="preserve"> The creative does not land as “cheap WiFi,” “flexible mobile data,” or “budget broadband.”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F4EE" w:sz="4"/>
              <w:left w:val="single" w:color="1B7F5C" w:sz="24"/>
              <w:bottom w:val="single" w:color="E6F4EE" w:sz="4"/>
              <w:right w:val="single" w:color="E6F4EE" w:sz="4"/>
            </w:tcBorders>
            <w:shd w:fill="E6F4EE" w:val="clear"/>
            <w:tcMar>
              <w:top w:type="dxa" w:w="120"/>
              <w:left w:type="dxa" w:w="220"/>
              <w:bottom w:type="dxa" w:w="120"/>
              <w:right w:type="dxa" w:w="200"/>
            </w:tcMar>
          </w:tcPr>
          <w:p>
            <w:pPr>
              <w:spacing w:after="60" w:before="40"/>
            </w:pPr>
            <w:r>
              <w:rPr>
                <w:rFonts w:ascii="Calibri" w:cs="Calibri" w:eastAsia="Calibri" w:hAnsi="Calibri"/>
                <w:b/>
                <w:bCs/>
                <w:color w:val="1B7F5C"/>
                <w:sz w:val="18"/>
                <w:szCs w:val="18"/>
              </w:rPr>
              <w:t xml:space="preserve">GATE</w:t>
            </w:r>
          </w:p>
          <w:p>
            <w:pPr>
              <w:spacing w:after="40" w:before="40" w:line="300"/>
            </w:pPr>
            <w:r>
              <w:rPr>
                <w:rFonts w:ascii="Calibri" w:cs="Calibri" w:eastAsia="Calibri" w:hAnsi="Calibri"/>
                <w:color w:val="222222"/>
                <w:sz w:val="22"/>
                <w:szCs w:val="22"/>
              </w:rPr>
              <w:t xml:space="preserve">Fail condition: the most likely interpretation in the target user’s head is anything other than “Recharge-wala Ghar ka Net — home internet, recharge-shaped, for the whole family.” If a reviewer must supply the ghar anchor themselves to make the ad cohere, it fails.</w:t>
            </w:r>
          </w:p>
        </w:tc>
      </w:tr>
    </w:tbl>
    <w:p>
      <w:pPr>
        <w:pStyle w:val="Heading2"/>
        <w:spacing w:after="140" w:before="280"/>
      </w:pPr>
      <w:r>
        <w:rPr>
          <w:rFonts w:ascii="Calibri" w:cs="Calibri" w:eastAsia="Calibri" w:hAnsi="Calibri"/>
          <w:b/>
          <w:bCs/>
          <w:color w:val="443152"/>
          <w:sz w:val="27"/>
          <w:szCs w:val="27"/>
        </w:rPr>
        <w:t xml:space="preserve">Gate 2 — Contamination / kill-list</w:t>
      </w:r>
    </w:p>
    <w:p>
      <w:pPr>
        <w:spacing w:after="100" w:before="100" w:line="320"/>
      </w:pPr>
      <w:r>
        <w:rPr>
          <w:rFonts w:ascii="Calibri" w:cs="Calibri" w:eastAsia="Calibri" w:hAnsi="Calibri"/>
          <w:color w:val="222222"/>
          <w:sz w:val="22"/>
          <w:szCs w:val="22"/>
        </w:rPr>
        <w:t xml:space="preserve">Passes only if kill-list words (WiFi, broadband, fiber, speed plans, cheap internet) are not used as Wiom’s identity. The one permitted use is bridge-capture at search and discovery surfaces, where the word is the user’s own — never a Wiom identity claim.</w:t>
      </w:r>
    </w:p>
    <w:p>
      <w:pPr>
        <w:pStyle w:val="ListParagraph"/>
        <w:numPr>
          <w:ilvl w:val="0"/>
          <w:numId w:val="2"/>
        </w:numPr>
        <w:spacing w:after="60" w:before="60" w:line="320"/>
      </w:pPr>
      <w:r>
        <w:rPr>
          <w:rFonts w:ascii="Calibri" w:cs="Calibri" w:eastAsia="Calibri" w:hAnsi="Calibri"/>
          <w:b/>
          <w:bCs/>
          <w:color w:val="222222"/>
          <w:sz w:val="22"/>
          <w:szCs w:val="22"/>
        </w:rPr>
        <w:t xml:space="preserve">Allowed (capture): </w:t>
      </w:r>
      <w:r>
        <w:rPr>
          <w:rFonts w:ascii="Calibri" w:cs="Calibri" w:eastAsia="Calibri" w:hAnsi="Calibri"/>
          <w:color w:val="222222"/>
          <w:sz w:val="22"/>
          <w:szCs w:val="22"/>
        </w:rPr>
        <w:t xml:space="preserve">bidding on “home wifi near me”; an ad opening “WiFi lene jaa rahe ho?”</w:t>
      </w:r>
    </w:p>
    <w:p>
      <w:pPr>
        <w:pStyle w:val="ListParagraph"/>
        <w:numPr>
          <w:ilvl w:val="0"/>
          <w:numId w:val="2"/>
        </w:numPr>
        <w:spacing w:after="60" w:before="60" w:line="320"/>
      </w:pPr>
      <w:r>
        <w:rPr>
          <w:rFonts w:ascii="Calibri" w:cs="Calibri" w:eastAsia="Calibri" w:hAnsi="Calibri"/>
          <w:b/>
          <w:bCs/>
          <w:color w:val="222222"/>
          <w:sz w:val="22"/>
          <w:szCs w:val="22"/>
        </w:rPr>
        <w:t xml:space="preserve">Rejected (identity): </w:t>
      </w:r>
      <w:r>
        <w:rPr>
          <w:rFonts w:ascii="Calibri" w:cs="Calibri" w:eastAsia="Calibri" w:hAnsi="Calibri"/>
          <w:color w:val="222222"/>
          <w:sz w:val="22"/>
          <w:szCs w:val="22"/>
        </w:rPr>
        <w:t xml:space="preserve">“Wiom — best cheap WiFi”; “WiFi jaisa” as a Wiom self-description inviting telecom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F4EE" w:sz="4"/>
              <w:left w:val="single" w:color="1B7F5C" w:sz="24"/>
              <w:bottom w:val="single" w:color="E6F4EE" w:sz="4"/>
              <w:right w:val="single" w:color="E6F4EE" w:sz="4"/>
            </w:tcBorders>
            <w:shd w:fill="E6F4EE" w:val="clear"/>
            <w:tcMar>
              <w:top w:type="dxa" w:w="120"/>
              <w:left w:type="dxa" w:w="220"/>
              <w:bottom w:type="dxa" w:w="120"/>
              <w:right w:type="dxa" w:w="200"/>
            </w:tcMar>
          </w:tcPr>
          <w:p>
            <w:pPr>
              <w:spacing w:after="60" w:before="40"/>
            </w:pPr>
            <w:r>
              <w:rPr>
                <w:rFonts w:ascii="Calibri" w:cs="Calibri" w:eastAsia="Calibri" w:hAnsi="Calibri"/>
                <w:b/>
                <w:bCs/>
                <w:color w:val="1B7F5C"/>
                <w:sz w:val="18"/>
                <w:szCs w:val="18"/>
              </w:rPr>
              <w:t xml:space="preserve">GATE</w:t>
            </w:r>
          </w:p>
          <w:p>
            <w:pPr>
              <w:spacing w:after="40" w:before="40" w:line="300"/>
            </w:pPr>
            <w:r>
              <w:rPr>
                <w:rFonts w:ascii="Calibri" w:cs="Calibri" w:eastAsia="Calibri" w:hAnsi="Calibri"/>
                <w:color w:val="222222"/>
                <w:sz w:val="22"/>
                <w:szCs w:val="22"/>
              </w:rPr>
              <w:t xml:space="preserve">Fail condition: the creative invites the user to compare Wiom against Jio / Airtel / broadband on their terms (speed, Mbps, fiber, monthly plan). Capture the user at their word; never adopt the word as identity.</w:t>
            </w:r>
          </w:p>
        </w:tc>
      </w:tr>
    </w:tbl>
    <w:p>
      <w:pPr>
        <w:pStyle w:val="Heading1"/>
        <w:spacing w:after="200" w:before="360"/>
      </w:pPr>
      <w:r>
        <w:rPr>
          <w:rFonts w:ascii="Calibri" w:cs="Calibri" w:eastAsia="Calibri" w:hAnsi="Calibri"/>
          <w:b/>
          <w:bCs/>
          <w:color w:val="443152"/>
          <w:sz w:val="34"/>
          <w:szCs w:val="34"/>
        </w:rPr>
        <w:t xml:space="preserve">§4 — Layer 2: Test variables</w:t>
      </w:r>
    </w:p>
    <w:p>
      <w:pPr>
        <w:spacing w:after="100" w:before="100" w:line="320"/>
      </w:pPr>
      <w:r>
        <w:rPr>
          <w:rFonts w:ascii="Calibri" w:cs="Calibri" w:eastAsia="Calibri" w:hAnsi="Calibri"/>
          <w:color w:val="222222"/>
          <w:sz w:val="22"/>
          <w:szCs w:val="22"/>
        </w:rPr>
        <w:t xml:space="preserve">Four variables, kept reasonably independent so combination and pattern analysis attributes outcomes to the right axis. Every creative is tagged on all four. Tests change one at a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400"/>
        <w:gridCol w:w="2660"/>
      </w:tblGrid>
      <w:tr>
        <w:trPr>
          <w:tblHeader/>
        </w:trPr>
        <w:tc>
          <w:tcPr>
            <w:tcW w:type="dxa" w:w="2300"/>
            <w:tcBorders>
              <w:top w:val="single" w:color="D0D7DE" w:sz="4"/>
              <w:left w:val="single" w:color="D0D7DE" w:sz="4"/>
              <w:bottom w:val="single" w:color="D0D7DE" w:sz="4"/>
              <w:right w:val="single" w:color="D0D7DE" w:sz="4"/>
            </w:tcBorders>
            <w:shd w:fill="443152" w:val="clear"/>
            <w:tcMar>
              <w:top w:type="dxa" w:w="100"/>
              <w:left w:type="dxa" w:w="140"/>
              <w:bottom w:type="dxa" w:w="100"/>
              <w:right w:type="dxa" w:w="140"/>
            </w:tcMar>
          </w:tcPr>
          <w:p>
            <w:r>
              <w:rPr>
                <w:rFonts w:ascii="Calibri" w:cs="Calibri" w:eastAsia="Calibri" w:hAnsi="Calibri"/>
                <w:b/>
                <w:bCs/>
                <w:color w:val="FFFFFF"/>
                <w:sz w:val="20"/>
                <w:szCs w:val="20"/>
              </w:rPr>
              <w:t xml:space="preserve">Variable</w:t>
            </w:r>
          </w:p>
        </w:tc>
        <w:tc>
          <w:tcPr>
            <w:tcW w:type="dxa" w:w="4400"/>
            <w:tcBorders>
              <w:top w:val="single" w:color="D0D7DE" w:sz="4"/>
              <w:left w:val="single" w:color="D0D7DE" w:sz="4"/>
              <w:bottom w:val="single" w:color="D0D7DE" w:sz="4"/>
              <w:right w:val="single" w:color="D0D7DE" w:sz="4"/>
            </w:tcBorders>
            <w:shd w:fill="443152" w:val="clear"/>
            <w:tcMar>
              <w:top w:type="dxa" w:w="100"/>
              <w:left w:type="dxa" w:w="140"/>
              <w:bottom w:type="dxa" w:w="100"/>
              <w:right w:type="dxa" w:w="140"/>
            </w:tcMar>
          </w:tcPr>
          <w:p>
            <w:r>
              <w:rPr>
                <w:rFonts w:ascii="Calibri" w:cs="Calibri" w:eastAsia="Calibri" w:hAnsi="Calibri"/>
                <w:b/>
                <w:bCs/>
                <w:color w:val="FFFFFF"/>
                <w:sz w:val="20"/>
                <w:szCs w:val="20"/>
              </w:rPr>
              <w:t xml:space="preserve">Values (non-exhaustive)</w:t>
            </w:r>
          </w:p>
        </w:tc>
        <w:tc>
          <w:tcPr>
            <w:tcW w:type="dxa" w:w="2660"/>
            <w:tcBorders>
              <w:top w:val="single" w:color="D0D7DE" w:sz="4"/>
              <w:left w:val="single" w:color="D0D7DE" w:sz="4"/>
              <w:bottom w:val="single" w:color="D0D7DE" w:sz="4"/>
              <w:right w:val="single" w:color="D0D7DE" w:sz="4"/>
            </w:tcBorders>
            <w:shd w:fill="443152" w:val="clear"/>
            <w:tcMar>
              <w:top w:type="dxa" w:w="100"/>
              <w:left w:type="dxa" w:w="140"/>
              <w:bottom w:type="dxa" w:w="100"/>
              <w:right w:type="dxa" w:w="140"/>
            </w:tcMar>
          </w:tcPr>
          <w:p>
            <w:r>
              <w:rPr>
                <w:rFonts w:ascii="Calibri" w:cs="Calibri" w:eastAsia="Calibri" w:hAnsi="Calibri"/>
                <w:b/>
                <w:bCs/>
                <w:color w:val="FFFFFF"/>
                <w:sz w:val="20"/>
                <w:szCs w:val="20"/>
              </w:rPr>
              <w:t xml:space="preserve">Current strongest hypothesis</w:t>
            </w:r>
          </w:p>
        </w:tc>
      </w:tr>
      <w:tr>
        <w:tc>
          <w:tcPr>
            <w:tcW w:type="dxa" w:w="2300"/>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r>
              <w:rPr>
                <w:rFonts w:ascii="Calibri" w:cs="Calibri" w:eastAsia="Calibri" w:hAnsi="Calibri"/>
                <w:color w:val="222222"/>
                <w:sz w:val="20"/>
                <w:szCs w:val="20"/>
              </w:rPr>
              <w:t xml:space="preserve">Story Structure</w:t>
            </w:r>
          </w:p>
        </w:tc>
        <w:tc>
          <w:tcPr>
            <w:tcW w:type="dxa" w:w="4400"/>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r>
              <w:rPr>
                <w:rFonts w:ascii="Calibri" w:cs="Calibri" w:eastAsia="Calibri" w:hAnsi="Calibri"/>
                <w:color w:val="222222"/>
                <w:sz w:val="20"/>
                <w:szCs w:val="20"/>
              </w:rPr>
              <w:t xml:space="preserve">constraint-first, rule-reveal, before/after, question-hook, household-conflict, “Kyunki…isliye…”, explainer, comparison, urgency-first</w:t>
            </w:r>
          </w:p>
        </w:tc>
        <w:tc>
          <w:tcPr>
            <w:tcW w:type="dxa" w:w="2660"/>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r>
              <w:rPr>
                <w:rFonts w:ascii="Calibri" w:cs="Calibri" w:eastAsia="Calibri" w:hAnsi="Calibri"/>
                <w:color w:val="222222"/>
                <w:sz w:val="20"/>
                <w:szCs w:val="20"/>
              </w:rPr>
              <w:t xml:space="preserve">Constraint-first (validated — Dance film, March sprint)</w:t>
            </w:r>
          </w:p>
        </w:tc>
      </w:tr>
      <w:tr>
        <w:tc>
          <w:tcPr>
            <w:tcW w:type="dxa" w:w="2300"/>
            <w:tcBorders>
              <w:top w:val="single" w:color="D0D7DE" w:sz="4"/>
              <w:left w:val="single" w:color="D0D7DE" w:sz="4"/>
              <w:bottom w:val="single" w:color="D0D7DE" w:sz="4"/>
              <w:right w:val="single" w:color="D0D7DE" w:sz="4"/>
            </w:tcBorders>
            <w:shd w:fill="FAFBFD" w:val="clear"/>
            <w:tcMar>
              <w:top w:type="dxa" w:w="90"/>
              <w:left w:type="dxa" w:w="140"/>
              <w:bottom w:type="dxa" w:w="90"/>
              <w:right w:type="dxa" w:w="140"/>
            </w:tcMar>
          </w:tcPr>
          <w:p>
            <w:r>
              <w:rPr>
                <w:rFonts w:ascii="Calibri" w:cs="Calibri" w:eastAsia="Calibri" w:hAnsi="Calibri"/>
                <w:color w:val="222222"/>
                <w:sz w:val="20"/>
                <w:szCs w:val="20"/>
              </w:rPr>
              <w:t xml:space="preserve">Protagonist &amp; Credibility (ordered peer → authority)</w:t>
            </w:r>
          </w:p>
        </w:tc>
        <w:tc>
          <w:tcPr>
            <w:tcW w:type="dxa" w:w="4400"/>
            <w:tcBorders>
              <w:top w:val="single" w:color="D0D7DE" w:sz="4"/>
              <w:left w:val="single" w:color="D0D7DE" w:sz="4"/>
              <w:bottom w:val="single" w:color="D0D7DE" w:sz="4"/>
              <w:right w:val="single" w:color="D0D7DE" w:sz="4"/>
            </w:tcBorders>
            <w:shd w:fill="FAFBFD" w:val="clear"/>
            <w:tcMar>
              <w:top w:type="dxa" w:w="90"/>
              <w:left w:type="dxa" w:w="140"/>
              <w:bottom w:type="dxa" w:w="90"/>
              <w:right w:type="dxa" w:w="140"/>
            </w:tcMar>
          </w:tcPr>
          <w:p>
            <w:r>
              <w:rPr>
                <w:rFonts w:ascii="Calibri" w:cs="Calibri" w:eastAsia="Calibri" w:hAnsi="Calibri"/>
                <w:color w:val="222222"/>
                <w:sz w:val="20"/>
                <w:szCs w:val="20"/>
              </w:rPr>
              <w:t xml:space="preserve">real customer / local mother (peer) → local creator (peer-with-reach) → vox-pop public → founder (builder) → narrator → actor / celebrity (authority)</w:t>
            </w:r>
          </w:p>
        </w:tc>
        <w:tc>
          <w:tcPr>
            <w:tcW w:type="dxa" w:w="2660"/>
            <w:tcBorders>
              <w:top w:val="single" w:color="D0D7DE" w:sz="4"/>
              <w:left w:val="single" w:color="D0D7DE" w:sz="4"/>
              <w:bottom w:val="single" w:color="D0D7DE" w:sz="4"/>
              <w:right w:val="single" w:color="D0D7DE" w:sz="4"/>
            </w:tcBorders>
            <w:shd w:fill="FAFBFD" w:val="clear"/>
            <w:tcMar>
              <w:top w:type="dxa" w:w="90"/>
              <w:left w:type="dxa" w:w="140"/>
              <w:bottom w:type="dxa" w:w="90"/>
              <w:right w:type="dxa" w:w="140"/>
            </w:tcMar>
          </w:tcPr>
          <w:p>
            <w:r>
              <w:rPr>
                <w:rFonts w:ascii="Calibri" w:cs="Calibri" w:eastAsia="Calibri" w:hAnsi="Calibri"/>
                <w:color w:val="222222"/>
                <w:sz w:val="20"/>
                <w:szCs w:val="20"/>
              </w:rPr>
              <w:t xml:space="preserve">Peer-proximate &gt; authority-distant for this TG. Celebrity reinforces the social myth we are breaking.</w:t>
            </w:r>
          </w:p>
        </w:tc>
      </w:tr>
      <w:tr>
        <w:tc>
          <w:tcPr>
            <w:tcW w:type="dxa" w:w="2300"/>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r>
              <w:rPr>
                <w:rFonts w:ascii="Calibri" w:cs="Calibri" w:eastAsia="Calibri" w:hAnsi="Calibri"/>
                <w:color w:val="222222"/>
                <w:sz w:val="20"/>
                <w:szCs w:val="20"/>
              </w:rPr>
              <w:t xml:space="preserve">Need-State</w:t>
            </w:r>
          </w:p>
        </w:tc>
        <w:tc>
          <w:tcPr>
            <w:tcW w:type="dxa" w:w="4400"/>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r>
              <w:rPr>
                <w:rFonts w:ascii="Calibri" w:cs="Calibri" w:eastAsia="Calibri" w:hAnsi="Calibri"/>
                <w:color w:val="222222"/>
                <w:sz w:val="20"/>
                <w:szCs w:val="20"/>
              </w:rPr>
              <w:t xml:space="preserve">hotspot exhaustion, IPL/cricket, exam season, salary delay / variable cashflow, family simultaneity, travel/return, short-duration need, monthly-commitment rejection, top-up fatigue, festival</w:t>
            </w:r>
          </w:p>
        </w:tc>
        <w:tc>
          <w:tcPr>
            <w:tcW w:type="dxa" w:w="2660"/>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r>
              <w:rPr>
                <w:rFonts w:ascii="Calibri" w:cs="Calibri" w:eastAsia="Calibri" w:hAnsi="Calibri"/>
                <w:color w:val="222222"/>
                <w:sz w:val="20"/>
                <w:szCs w:val="20"/>
              </w:rPr>
              <w:t xml:space="preserve">Real urgency only; manufactured urgency corrupts the category</w:t>
            </w:r>
          </w:p>
        </w:tc>
      </w:tr>
      <w:tr>
        <w:tc>
          <w:tcPr>
            <w:tcW w:type="dxa" w:w="2300"/>
            <w:tcBorders>
              <w:top w:val="single" w:color="D0D7DE" w:sz="4"/>
              <w:left w:val="single" w:color="D0D7DE" w:sz="4"/>
              <w:bottom w:val="single" w:color="D0D7DE" w:sz="4"/>
              <w:right w:val="single" w:color="D0D7DE" w:sz="4"/>
            </w:tcBorders>
            <w:shd w:fill="FAFBFD" w:val="clear"/>
            <w:tcMar>
              <w:top w:type="dxa" w:w="90"/>
              <w:left w:type="dxa" w:w="140"/>
              <w:bottom w:type="dxa" w:w="90"/>
              <w:right w:type="dxa" w:w="140"/>
            </w:tcMar>
          </w:tcPr>
          <w:p>
            <w:r>
              <w:rPr>
                <w:rFonts w:ascii="Calibri" w:cs="Calibri" w:eastAsia="Calibri" w:hAnsi="Calibri"/>
                <w:color w:val="222222"/>
                <w:sz w:val="20"/>
                <w:szCs w:val="20"/>
              </w:rPr>
              <w:t xml:space="preserve">Format</w:t>
            </w:r>
          </w:p>
        </w:tc>
        <w:tc>
          <w:tcPr>
            <w:tcW w:type="dxa" w:w="4400"/>
            <w:tcBorders>
              <w:top w:val="single" w:color="D0D7DE" w:sz="4"/>
              <w:left w:val="single" w:color="D0D7DE" w:sz="4"/>
              <w:bottom w:val="single" w:color="D0D7DE" w:sz="4"/>
              <w:right w:val="single" w:color="D0D7DE" w:sz="4"/>
            </w:tcBorders>
            <w:shd w:fill="FAFBFD" w:val="clear"/>
            <w:tcMar>
              <w:top w:type="dxa" w:w="90"/>
              <w:left w:type="dxa" w:w="140"/>
              <w:bottom w:type="dxa" w:w="90"/>
              <w:right w:type="dxa" w:w="140"/>
            </w:tcMar>
          </w:tcPr>
          <w:p>
            <w:r>
              <w:rPr>
                <w:rFonts w:ascii="Calibri" w:cs="Calibri" w:eastAsia="Calibri" w:hAnsi="Calibri"/>
                <w:color w:val="222222"/>
                <w:sz w:val="20"/>
                <w:szCs w:val="20"/>
              </w:rPr>
              <w:t xml:space="preserve">vox pop, local-creator UGC, static, motion graphic, founder talk, screen-record/demo, testimonial, meme/reel, WhatsApp-forward, comparison frame</w:t>
            </w:r>
          </w:p>
        </w:tc>
        <w:tc>
          <w:tcPr>
            <w:tcW w:type="dxa" w:w="2660"/>
            <w:tcBorders>
              <w:top w:val="single" w:color="D0D7DE" w:sz="4"/>
              <w:left w:val="single" w:color="D0D7DE" w:sz="4"/>
              <w:bottom w:val="single" w:color="D0D7DE" w:sz="4"/>
              <w:right w:val="single" w:color="D0D7DE" w:sz="4"/>
            </w:tcBorders>
            <w:shd w:fill="FAFBFD" w:val="clear"/>
            <w:tcMar>
              <w:top w:type="dxa" w:w="90"/>
              <w:left w:type="dxa" w:w="140"/>
              <w:bottom w:type="dxa" w:w="90"/>
              <w:right w:type="dxa" w:w="140"/>
            </w:tcMar>
          </w:tcPr>
          <w:p>
            <w:r>
              <w:rPr>
                <w:rFonts w:ascii="Calibri" w:cs="Calibri" w:eastAsia="Calibri" w:hAnsi="Calibri"/>
                <w:color w:val="222222"/>
                <w:sz w:val="20"/>
                <w:szCs w:val="20"/>
              </w:rPr>
              <w:t xml:space="preserve">Real-person formats for this TG</w:t>
            </w:r>
          </w:p>
        </w:tc>
      </w:tr>
    </w:tbl>
    <w:p>
      <w:pPr>
        <w:spacing w:before="120"/>
      </w:pPr>
      <w:r>
        <w:rPr>
          <w:rFonts w:ascii="Calibri" w:cs="Calibri" w:eastAsia="Calibri" w:hAnsi="Calibri"/>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EF2F7" w:sz="4"/>
              <w:left w:val="single" w:color="5A6B80" w:sz="24"/>
              <w:bottom w:val="single" w:color="EEF2F7" w:sz="4"/>
              <w:right w:val="single" w:color="EEF2F7" w:sz="4"/>
            </w:tcBorders>
            <w:shd w:fill="EEF2F7" w:val="clear"/>
            <w:tcMar>
              <w:top w:type="dxa" w:w="120"/>
              <w:left w:type="dxa" w:w="220"/>
              <w:bottom w:type="dxa" w:w="120"/>
              <w:right w:type="dxa" w:w="200"/>
            </w:tcMar>
          </w:tcPr>
          <w:p>
            <w:pPr>
              <w:spacing w:after="60" w:before="40"/>
            </w:pPr>
            <w:r>
              <w:rPr>
                <w:rFonts w:ascii="Calibri" w:cs="Calibri" w:eastAsia="Calibri" w:hAnsi="Calibri"/>
                <w:b/>
                <w:bCs/>
                <w:color w:val="5A6B80"/>
                <w:sz w:val="18"/>
                <w:szCs w:val="18"/>
              </w:rPr>
              <w:t xml:space="preserve">NOTE</w:t>
            </w:r>
          </w:p>
          <w:p>
            <w:pPr>
              <w:spacing w:after="40" w:before="40" w:line="300"/>
            </w:pPr>
            <w:r>
              <w:rPr>
                <w:rFonts w:ascii="Calibri" w:cs="Calibri" w:eastAsia="Calibri" w:hAnsi="Calibri"/>
                <w:color w:val="222222"/>
                <w:sz w:val="22"/>
                <w:szCs w:val="22"/>
              </w:rPr>
              <w:t xml:space="preserve">Protagonist &amp; Credibility is one variable, not two: for this audience the protagonist IS the credibility source. The values are ordered by trust proximity — peer (like-me) at one end, authority (celebrity) at the other — because for our TG peer-proximate messengers break the social myth while celebrity messengers reinforce it. A finer split into a separate “trust-distance” axis is deferred until volume can power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7E0" w:sz="4"/>
              <w:left w:val="single" w:color="B8860B" w:sz="24"/>
              <w:bottom w:val="single" w:color="FFF7E0" w:sz="4"/>
              <w:right w:val="single" w:color="FFF7E0" w:sz="4"/>
            </w:tcBorders>
            <w:shd w:fill="FFF7E0" w:val="clear"/>
            <w:tcMar>
              <w:top w:type="dxa" w:w="120"/>
              <w:left w:type="dxa" w:w="220"/>
              <w:bottom w:type="dxa" w:w="120"/>
              <w:right w:type="dxa" w:w="200"/>
            </w:tcMar>
          </w:tcPr>
          <w:p>
            <w:pPr>
              <w:spacing w:after="60" w:before="40"/>
            </w:pPr>
            <w:r>
              <w:rPr>
                <w:rFonts w:ascii="Calibri" w:cs="Calibri" w:eastAsia="Calibri" w:hAnsi="Calibri"/>
                <w:b/>
                <w:bCs/>
                <w:color w:val="B8860B"/>
                <w:sz w:val="18"/>
                <w:szCs w:val="18"/>
              </w:rPr>
              <w:t xml:space="preserve">RULE</w:t>
            </w:r>
          </w:p>
          <w:p>
            <w:pPr>
              <w:spacing w:after="40" w:before="40" w:line="300"/>
            </w:pPr>
            <w:r>
              <w:rPr>
                <w:rFonts w:ascii="Calibri" w:cs="Calibri" w:eastAsia="Calibri" w:hAnsi="Calibri"/>
                <w:color w:val="222222"/>
                <w:sz w:val="22"/>
                <w:szCs w:val="22"/>
              </w:rPr>
              <w:t xml:space="preserve">Test-design discipline (collinearity): some need-states structurally bias certain story structures — IPL toward urgency-first, salary-delay toward constraint-first. To avoid false conclusions, never co-vary need-state and story structure in the same test. When testing one, hold the other constant. This is the single-variable rule enforced at the point it is most easily violated.</w:t>
            </w:r>
          </w:p>
        </w:tc>
      </w:tr>
    </w:tbl>
    <w:p>
      <w:pPr>
        <w:pStyle w:val="Heading1"/>
        <w:spacing w:after="200" w:before="360"/>
      </w:pPr>
      <w:r>
        <w:rPr>
          <w:rFonts w:ascii="Calibri" w:cs="Calibri" w:eastAsia="Calibri" w:hAnsi="Calibri"/>
          <w:b/>
          <w:bCs/>
          <w:color w:val="443152"/>
          <w:sz w:val="34"/>
          <w:szCs w:val="34"/>
        </w:rPr>
        <w:t xml:space="preserve">§5 — Layer 3: Determined parameters</w:t>
      </w:r>
    </w:p>
    <w:p>
      <w:pPr>
        <w:spacing w:after="100" w:before="100" w:line="320"/>
      </w:pPr>
      <w:r>
        <w:rPr>
          <w:rFonts w:ascii="Calibri" w:cs="Calibri" w:eastAsia="Calibri" w:hAnsi="Calibri"/>
          <w:color w:val="222222"/>
          <w:sz w:val="22"/>
          <w:szCs w:val="22"/>
        </w:rPr>
        <w:t xml:space="preserve">CTA intensity is not a free creative choice to be optimized. It is determined by where the activation creative sits and the readiness of the audience it serves. (Cold, category-unaware audiences are top-of-funnel, owned separately — not this team’s creative.)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2760"/>
      </w:tblGrid>
      <w:tr>
        <w:trPr>
          <w:tblHeader/>
        </w:trPr>
        <w:tc>
          <w:tcPr>
            <w:tcW w:type="dxa" w:w="2600"/>
            <w:tcBorders>
              <w:top w:val="single" w:color="D0D7DE" w:sz="4"/>
              <w:left w:val="single" w:color="D0D7DE" w:sz="4"/>
              <w:bottom w:val="single" w:color="D0D7DE" w:sz="4"/>
              <w:right w:val="single" w:color="D0D7DE" w:sz="4"/>
            </w:tcBorders>
            <w:shd w:fill="443152" w:val="clear"/>
            <w:tcMar>
              <w:top w:type="dxa" w:w="100"/>
              <w:left w:type="dxa" w:w="140"/>
              <w:bottom w:type="dxa" w:w="100"/>
              <w:right w:type="dxa" w:w="140"/>
            </w:tcMar>
          </w:tcPr>
          <w:p>
            <w:r>
              <w:rPr>
                <w:rFonts w:ascii="Calibri" w:cs="Calibri" w:eastAsia="Calibri" w:hAnsi="Calibri"/>
                <w:b/>
                <w:bCs/>
                <w:color w:val="FFFFFF"/>
                <w:sz w:val="20"/>
                <w:szCs w:val="20"/>
              </w:rPr>
              <w:t xml:space="preserve">Funnel stage</w:t>
            </w:r>
          </w:p>
        </w:tc>
        <w:tc>
          <w:tcPr>
            <w:tcW w:type="dxa" w:w="4000"/>
            <w:tcBorders>
              <w:top w:val="single" w:color="D0D7DE" w:sz="4"/>
              <w:left w:val="single" w:color="D0D7DE" w:sz="4"/>
              <w:bottom w:val="single" w:color="D0D7DE" w:sz="4"/>
              <w:right w:val="single" w:color="D0D7DE" w:sz="4"/>
            </w:tcBorders>
            <w:shd w:fill="443152" w:val="clear"/>
            <w:tcMar>
              <w:top w:type="dxa" w:w="100"/>
              <w:left w:type="dxa" w:w="140"/>
              <w:bottom w:type="dxa" w:w="100"/>
              <w:right w:type="dxa" w:w="140"/>
            </w:tcMar>
          </w:tcPr>
          <w:p>
            <w:r>
              <w:rPr>
                <w:rFonts w:ascii="Calibri" w:cs="Calibri" w:eastAsia="Calibri" w:hAnsi="Calibri"/>
                <w:b/>
                <w:bCs/>
                <w:color w:val="FFFFFF"/>
                <w:sz w:val="20"/>
                <w:szCs w:val="20"/>
              </w:rPr>
              <w:t xml:space="preserve">Audience readiness</w:t>
            </w:r>
          </w:p>
        </w:tc>
        <w:tc>
          <w:tcPr>
            <w:tcW w:type="dxa" w:w="2760"/>
            <w:tcBorders>
              <w:top w:val="single" w:color="D0D7DE" w:sz="4"/>
              <w:left w:val="single" w:color="D0D7DE" w:sz="4"/>
              <w:bottom w:val="single" w:color="D0D7DE" w:sz="4"/>
              <w:right w:val="single" w:color="D0D7DE" w:sz="4"/>
            </w:tcBorders>
            <w:shd w:fill="443152" w:val="clear"/>
            <w:tcMar>
              <w:top w:type="dxa" w:w="100"/>
              <w:left w:type="dxa" w:w="140"/>
              <w:bottom w:type="dxa" w:w="100"/>
              <w:right w:type="dxa" w:w="140"/>
            </w:tcMar>
          </w:tcPr>
          <w:p>
            <w:r>
              <w:rPr>
                <w:rFonts w:ascii="Calibri" w:cs="Calibri" w:eastAsia="Calibri" w:hAnsi="Calibri"/>
                <w:b/>
                <w:bCs/>
                <w:color w:val="FFFFFF"/>
                <w:sz w:val="20"/>
                <w:szCs w:val="20"/>
              </w:rPr>
              <w:t xml:space="preserve">CTA intensity</w:t>
            </w:r>
          </w:p>
        </w:tc>
      </w:tr>
      <w:tr>
        <w:tc>
          <w:tcPr>
            <w:tcW w:type="dxa" w:w="2600"/>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r>
              <w:rPr>
                <w:rFonts w:ascii="Calibri" w:cs="Calibri" w:eastAsia="Calibri" w:hAnsi="Calibri"/>
                <w:color w:val="222222"/>
                <w:sz w:val="20"/>
                <w:szCs w:val="20"/>
              </w:rPr>
              <w:t xml:space="preserve">Top of activation</w:t>
            </w:r>
          </w:p>
        </w:tc>
        <w:tc>
          <w:tcPr>
            <w:tcW w:type="dxa" w:w="4000"/>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r>
              <w:rPr>
                <w:rFonts w:ascii="Calibri" w:cs="Calibri" w:eastAsia="Calibri" w:hAnsi="Calibri"/>
                <w:color w:val="222222"/>
                <w:sz w:val="20"/>
                <w:szCs w:val="20"/>
              </w:rPr>
              <w:t xml:space="preserve">Warm — category-aware, deciding</w:t>
            </w:r>
          </w:p>
        </w:tc>
        <w:tc>
          <w:tcPr>
            <w:tcW w:type="dxa" w:w="2760"/>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r>
              <w:rPr>
                <w:rFonts w:ascii="Calibri" w:cs="Calibri" w:eastAsia="Calibri" w:hAnsi="Calibri"/>
                <w:color w:val="222222"/>
                <w:sz w:val="20"/>
                <w:szCs w:val="20"/>
              </w:rPr>
              <w:t xml:space="preserve">“Check Availability / Dekho”</w:t>
            </w:r>
          </w:p>
        </w:tc>
      </w:tr>
      <w:tr>
        <w:tc>
          <w:tcPr>
            <w:tcW w:type="dxa" w:w="2600"/>
            <w:tcBorders>
              <w:top w:val="single" w:color="D0D7DE" w:sz="4"/>
              <w:left w:val="single" w:color="D0D7DE" w:sz="4"/>
              <w:bottom w:val="single" w:color="D0D7DE" w:sz="4"/>
              <w:right w:val="single" w:color="D0D7DE" w:sz="4"/>
            </w:tcBorders>
            <w:shd w:fill="FAFBFD" w:val="clear"/>
            <w:tcMar>
              <w:top w:type="dxa" w:w="90"/>
              <w:left w:type="dxa" w:w="140"/>
              <w:bottom w:type="dxa" w:w="90"/>
              <w:right w:type="dxa" w:w="140"/>
            </w:tcMar>
          </w:tcPr>
          <w:p>
            <w:r>
              <w:rPr>
                <w:rFonts w:ascii="Calibri" w:cs="Calibri" w:eastAsia="Calibri" w:hAnsi="Calibri"/>
                <w:color w:val="222222"/>
                <w:sz w:val="20"/>
                <w:szCs w:val="20"/>
              </w:rPr>
              <w:t xml:space="preserve">Conversion</w:t>
            </w:r>
          </w:p>
        </w:tc>
        <w:tc>
          <w:tcPr>
            <w:tcW w:type="dxa" w:w="4000"/>
            <w:tcBorders>
              <w:top w:val="single" w:color="D0D7DE" w:sz="4"/>
              <w:left w:val="single" w:color="D0D7DE" w:sz="4"/>
              <w:bottom w:val="single" w:color="D0D7DE" w:sz="4"/>
              <w:right w:val="single" w:color="D0D7DE" w:sz="4"/>
            </w:tcBorders>
            <w:shd w:fill="FAFBFD" w:val="clear"/>
            <w:tcMar>
              <w:top w:type="dxa" w:w="90"/>
              <w:left w:type="dxa" w:w="140"/>
              <w:bottom w:type="dxa" w:w="90"/>
              <w:right w:type="dxa" w:w="140"/>
            </w:tcMar>
          </w:tcPr>
          <w:p>
            <w:r>
              <w:rPr>
                <w:rFonts w:ascii="Calibri" w:cs="Calibri" w:eastAsia="Calibri" w:hAnsi="Calibri"/>
                <w:color w:val="222222"/>
                <w:sz w:val="20"/>
                <w:szCs w:val="20"/>
              </w:rPr>
              <w:t xml:space="preserve">Hot — active buyer / branded intent</w:t>
            </w:r>
          </w:p>
        </w:tc>
        <w:tc>
          <w:tcPr>
            <w:tcW w:type="dxa" w:w="2760"/>
            <w:tcBorders>
              <w:top w:val="single" w:color="D0D7DE" w:sz="4"/>
              <w:left w:val="single" w:color="D0D7DE" w:sz="4"/>
              <w:bottom w:val="single" w:color="D0D7DE" w:sz="4"/>
              <w:right w:val="single" w:color="D0D7DE" w:sz="4"/>
            </w:tcBorders>
            <w:shd w:fill="FAFBFD" w:val="clear"/>
            <w:tcMar>
              <w:top w:type="dxa" w:w="90"/>
              <w:left w:type="dxa" w:w="140"/>
              <w:bottom w:type="dxa" w:w="90"/>
              <w:right w:type="dxa" w:w="140"/>
            </w:tcMar>
          </w:tcPr>
          <w:p>
            <w:r>
              <w:rPr>
                <w:rFonts w:ascii="Calibri" w:cs="Calibri" w:eastAsia="Calibri" w:hAnsi="Calibri"/>
                <w:color w:val="222222"/>
                <w:sz w:val="20"/>
                <w:szCs w:val="20"/>
              </w:rPr>
              <w:t xml:space="preserve">“Get Wiom / Book Now”</w:t>
            </w:r>
          </w:p>
        </w:tc>
      </w:tr>
    </w:tbl>
    <w:p>
      <w:pPr>
        <w:spacing w:before="120"/>
      </w:pPr>
      <w:r>
        <w:rPr>
          <w:rFonts w:ascii="Calibri" w:cs="Calibri" w:eastAsia="Calibri" w:hAnsi="Calibri"/>
          <w:color w:val="222222"/>
          <w:sz w:val="22"/>
          <w:szCs w:val="22"/>
        </w:rPr>
        <w:t xml:space="preserve"/>
      </w:r>
    </w:p>
    <w:p>
      <w:pPr>
        <w:spacing w:after="100" w:before="100" w:line="320"/>
      </w:pPr>
      <w:r>
        <w:rPr>
          <w:rFonts w:ascii="Calibri" w:cs="Calibri" w:eastAsia="Calibri" w:hAnsi="Calibri"/>
          <w:color w:val="222222"/>
          <w:sz w:val="22"/>
          <w:szCs w:val="22"/>
        </w:rPr>
        <w:t xml:space="preserve">CTA is recorded on each creative for completeness but is not A/B tested against itself. You test it only indirectly — by testing whether a creative is correctly matched to its stage.</w:t>
      </w:r>
    </w:p>
    <w:p>
      <w:pPr>
        <w:pStyle w:val="Heading1"/>
        <w:spacing w:after="200" w:before="360"/>
      </w:pPr>
      <w:r>
        <w:rPr>
          <w:rFonts w:ascii="Calibri" w:cs="Calibri" w:eastAsia="Calibri" w:hAnsi="Calibri"/>
          <w:b/>
          <w:bCs/>
          <w:color w:val="443152"/>
          <w:sz w:val="34"/>
          <w:szCs w:val="34"/>
        </w:rPr>
        <w:t xml:space="preserve">§6 — Layer 4: The outcome ladder</w:t>
      </w:r>
    </w:p>
    <w:p>
      <w:pPr>
        <w:spacing w:after="100" w:before="100" w:line="320"/>
      </w:pPr>
      <w:r>
        <w:rPr>
          <w:rFonts w:ascii="Calibri" w:cs="Calibri" w:eastAsia="Calibri" w:hAnsi="Calibri"/>
          <w:color w:val="222222"/>
          <w:sz w:val="22"/>
          <w:szCs w:val="22"/>
        </w:rPr>
        <w:t xml:space="preserve">Every surviving activation creative is scored on a fixed ladder from leading (top) to terminal (bottom). The rule that makes this work: a creative is judged by how far down the ladder it carries users, not by how high it scores at the 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5460"/>
      </w:tblGrid>
      <w:tr>
        <w:trPr>
          <w:tblHeader/>
        </w:trPr>
        <w:tc>
          <w:tcPr>
            <w:tcW w:type="dxa" w:w="500"/>
            <w:tcBorders>
              <w:top w:val="single" w:color="D0D7DE" w:sz="4"/>
              <w:left w:val="single" w:color="D0D7DE" w:sz="4"/>
              <w:bottom w:val="single" w:color="D0D7DE" w:sz="4"/>
              <w:right w:val="single" w:color="D0D7DE" w:sz="4"/>
            </w:tcBorders>
            <w:shd w:fill="443152" w:val="clear"/>
            <w:tcMar>
              <w:top w:type="dxa" w:w="100"/>
              <w:left w:type="dxa" w:w="140"/>
              <w:bottom w:type="dxa" w:w="100"/>
              <w:right w:type="dxa" w:w="140"/>
            </w:tcMar>
          </w:tcPr>
          <w:p>
            <w:r>
              <w:rPr>
                <w:rFonts w:ascii="Calibri" w:cs="Calibri" w:eastAsia="Calibri" w:hAnsi="Calibri"/>
                <w:b/>
                <w:bCs/>
                <w:color w:val="FFFFFF"/>
                <w:sz w:val="20"/>
                <w:szCs w:val="20"/>
              </w:rPr>
              <w:t xml:space="preserve">#</w:t>
            </w:r>
          </w:p>
        </w:tc>
        <w:tc>
          <w:tcPr>
            <w:tcW w:type="dxa" w:w="3400"/>
            <w:tcBorders>
              <w:top w:val="single" w:color="D0D7DE" w:sz="4"/>
              <w:left w:val="single" w:color="D0D7DE" w:sz="4"/>
              <w:bottom w:val="single" w:color="D0D7DE" w:sz="4"/>
              <w:right w:val="single" w:color="D0D7DE" w:sz="4"/>
            </w:tcBorders>
            <w:shd w:fill="443152" w:val="clear"/>
            <w:tcMar>
              <w:top w:type="dxa" w:w="100"/>
              <w:left w:type="dxa" w:w="140"/>
              <w:bottom w:type="dxa" w:w="100"/>
              <w:right w:type="dxa" w:w="140"/>
            </w:tcMar>
          </w:tcPr>
          <w:p>
            <w:r>
              <w:rPr>
                <w:rFonts w:ascii="Calibri" w:cs="Calibri" w:eastAsia="Calibri" w:hAnsi="Calibri"/>
                <w:b/>
                <w:bCs/>
                <w:color w:val="FFFFFF"/>
                <w:sz w:val="20"/>
                <w:szCs w:val="20"/>
              </w:rPr>
              <w:t xml:space="preserve">Outcome</w:t>
            </w:r>
          </w:p>
        </w:tc>
        <w:tc>
          <w:tcPr>
            <w:tcW w:type="dxa" w:w="5460"/>
            <w:tcBorders>
              <w:top w:val="single" w:color="D0D7DE" w:sz="4"/>
              <w:left w:val="single" w:color="D0D7DE" w:sz="4"/>
              <w:bottom w:val="single" w:color="D0D7DE" w:sz="4"/>
              <w:right w:val="single" w:color="D0D7DE" w:sz="4"/>
            </w:tcBorders>
            <w:shd w:fill="443152" w:val="clear"/>
            <w:tcMar>
              <w:top w:type="dxa" w:w="100"/>
              <w:left w:type="dxa" w:w="140"/>
              <w:bottom w:type="dxa" w:w="100"/>
              <w:right w:type="dxa" w:w="140"/>
            </w:tcMar>
          </w:tcPr>
          <w:p>
            <w:r>
              <w:rPr>
                <w:rFonts w:ascii="Calibri" w:cs="Calibri" w:eastAsia="Calibri" w:hAnsi="Calibri"/>
                <w:b/>
                <w:bCs/>
                <w:color w:val="FFFFFF"/>
                <w:sz w:val="20"/>
                <w:szCs w:val="20"/>
              </w:rPr>
              <w:t xml:space="preserve">Role</w:t>
            </w:r>
          </w:p>
        </w:tc>
      </w:tr>
      <w:tr>
        <w:tc>
          <w:tcPr>
            <w:tcW w:type="dxa" w:w="500"/>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r>
              <w:rPr>
                <w:rFonts w:ascii="Calibri" w:cs="Calibri" w:eastAsia="Calibri" w:hAnsi="Calibri"/>
                <w:color w:val="222222"/>
                <w:sz w:val="20"/>
                <w:szCs w:val="20"/>
              </w:rPr>
              <w:t xml:space="preserve">1</w:t>
            </w:r>
          </w:p>
        </w:tc>
        <w:tc>
          <w:tcPr>
            <w:tcW w:type="dxa" w:w="3400"/>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r>
              <w:rPr>
                <w:rFonts w:ascii="Calibri" w:cs="Calibri" w:eastAsia="Calibri" w:hAnsi="Calibri"/>
                <w:color w:val="222222"/>
                <w:sz w:val="20"/>
                <w:szCs w:val="20"/>
              </w:rPr>
              <w:t xml:space="preserve">CTR / engagement</w:t>
            </w:r>
          </w:p>
        </w:tc>
        <w:tc>
          <w:tcPr>
            <w:tcW w:type="dxa" w:w="5460"/>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r>
              <w:rPr>
                <w:rFonts w:ascii="Calibri" w:cs="Calibri" w:eastAsia="Calibri" w:hAnsi="Calibri"/>
                <w:color w:val="222222"/>
                <w:sz w:val="20"/>
                <w:szCs w:val="20"/>
              </w:rPr>
              <w:t xml:space="preserve">Leading indicator. Necessary, never sufficient. Treat high CTR with suspicion until the ladder below confirms it.</w:t>
            </w:r>
          </w:p>
        </w:tc>
      </w:tr>
      <w:tr>
        <w:tc>
          <w:tcPr>
            <w:tcW w:type="dxa" w:w="500"/>
            <w:tcBorders>
              <w:top w:val="single" w:color="D0D7DE" w:sz="4"/>
              <w:left w:val="single" w:color="D0D7DE" w:sz="4"/>
              <w:bottom w:val="single" w:color="D0D7DE" w:sz="4"/>
              <w:right w:val="single" w:color="D0D7DE" w:sz="4"/>
            </w:tcBorders>
            <w:shd w:fill="FAFBFD" w:val="clear"/>
            <w:tcMar>
              <w:top w:type="dxa" w:w="90"/>
              <w:left w:type="dxa" w:w="140"/>
              <w:bottom w:type="dxa" w:w="90"/>
              <w:right w:type="dxa" w:w="140"/>
            </w:tcMar>
          </w:tcPr>
          <w:p>
            <w:r>
              <w:rPr>
                <w:rFonts w:ascii="Calibri" w:cs="Calibri" w:eastAsia="Calibri" w:hAnsi="Calibri"/>
                <w:color w:val="222222"/>
                <w:sz w:val="20"/>
                <w:szCs w:val="20"/>
              </w:rPr>
              <w:t xml:space="preserve">2</w:t>
            </w:r>
          </w:p>
        </w:tc>
        <w:tc>
          <w:tcPr>
            <w:tcW w:type="dxa" w:w="3400"/>
            <w:tcBorders>
              <w:top w:val="single" w:color="D0D7DE" w:sz="4"/>
              <w:left w:val="single" w:color="D0D7DE" w:sz="4"/>
              <w:bottom w:val="single" w:color="D0D7DE" w:sz="4"/>
              <w:right w:val="single" w:color="D0D7DE" w:sz="4"/>
            </w:tcBorders>
            <w:shd w:fill="FAFBFD" w:val="clear"/>
            <w:tcMar>
              <w:top w:type="dxa" w:w="90"/>
              <w:left w:type="dxa" w:w="140"/>
              <w:bottom w:type="dxa" w:w="90"/>
              <w:right w:type="dxa" w:w="140"/>
            </w:tcMar>
          </w:tcPr>
          <w:p>
            <w:r>
              <w:rPr>
                <w:rFonts w:ascii="Calibri" w:cs="Calibri" w:eastAsia="Calibri" w:hAnsi="Calibri"/>
                <w:color w:val="222222"/>
                <w:sz w:val="20"/>
                <w:szCs w:val="20"/>
              </w:rPr>
              <w:t xml:space="preserve">Click → install</w:t>
            </w:r>
          </w:p>
        </w:tc>
        <w:tc>
          <w:tcPr>
            <w:tcW w:type="dxa" w:w="5460"/>
            <w:tcBorders>
              <w:top w:val="single" w:color="D0D7DE" w:sz="4"/>
              <w:left w:val="single" w:color="D0D7DE" w:sz="4"/>
              <w:bottom w:val="single" w:color="D0D7DE" w:sz="4"/>
              <w:right w:val="single" w:color="D0D7DE" w:sz="4"/>
            </w:tcBorders>
            <w:shd w:fill="FAFBFD" w:val="clear"/>
            <w:tcMar>
              <w:top w:type="dxa" w:w="90"/>
              <w:left w:type="dxa" w:w="140"/>
              <w:bottom w:type="dxa" w:w="90"/>
              <w:right w:type="dxa" w:w="140"/>
            </w:tcMar>
          </w:tcPr>
          <w:p>
            <w:r>
              <w:rPr>
                <w:rFonts w:ascii="Calibri" w:cs="Calibri" w:eastAsia="Calibri" w:hAnsi="Calibri"/>
                <w:color w:val="222222"/>
                <w:sz w:val="20"/>
                <w:szCs w:val="20"/>
              </w:rPr>
              <w:t xml:space="preserve">Confirms the hook attracted the right person, not just any click.</w:t>
            </w:r>
          </w:p>
        </w:tc>
      </w:tr>
      <w:tr>
        <w:tc>
          <w:tcPr>
            <w:tcW w:type="dxa" w:w="500"/>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r>
              <w:rPr>
                <w:rFonts w:ascii="Calibri" w:cs="Calibri" w:eastAsia="Calibri" w:hAnsi="Calibri"/>
                <w:color w:val="222222"/>
                <w:sz w:val="20"/>
                <w:szCs w:val="20"/>
              </w:rPr>
              <w:t xml:space="preserve">3</w:t>
            </w:r>
          </w:p>
        </w:tc>
        <w:tc>
          <w:tcPr>
            <w:tcW w:type="dxa" w:w="3400"/>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r>
              <w:rPr>
                <w:rFonts w:ascii="Calibri" w:cs="Calibri" w:eastAsia="Calibri" w:hAnsi="Calibri"/>
                <w:color w:val="222222"/>
                <w:sz w:val="20"/>
                <w:szCs w:val="20"/>
              </w:rPr>
              <w:t xml:space="preserve">Install → booking fee paid</w:t>
            </w:r>
          </w:p>
        </w:tc>
        <w:tc>
          <w:tcPr>
            <w:tcW w:type="dxa" w:w="5460"/>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r>
              <w:rPr>
                <w:rFonts w:ascii="Calibri" w:cs="Calibri" w:eastAsia="Calibri" w:hAnsi="Calibri"/>
                <w:color w:val="222222"/>
                <w:sz w:val="20"/>
                <w:szCs w:val="20"/>
              </w:rPr>
              <w:t xml:space="preserve">Confirms category comprehension survived the landing + app surfaces.</w:t>
            </w:r>
          </w:p>
        </w:tc>
      </w:tr>
      <w:tr>
        <w:tc>
          <w:tcPr>
            <w:tcW w:type="dxa" w:w="500"/>
            <w:tcBorders>
              <w:top w:val="single" w:color="D0D7DE" w:sz="4"/>
              <w:left w:val="single" w:color="D0D7DE" w:sz="4"/>
              <w:bottom w:val="single" w:color="D0D7DE" w:sz="4"/>
              <w:right w:val="single" w:color="D0D7DE" w:sz="4"/>
            </w:tcBorders>
            <w:shd w:fill="FAFBFD" w:val="clear"/>
            <w:tcMar>
              <w:top w:type="dxa" w:w="90"/>
              <w:left w:type="dxa" w:w="140"/>
              <w:bottom w:type="dxa" w:w="90"/>
              <w:right w:type="dxa" w:w="140"/>
            </w:tcMar>
          </w:tcPr>
          <w:p>
            <w:r>
              <w:rPr>
                <w:rFonts w:ascii="Calibri" w:cs="Calibri" w:eastAsia="Calibri" w:hAnsi="Calibri"/>
                <w:color w:val="222222"/>
                <w:sz w:val="20"/>
                <w:szCs w:val="20"/>
              </w:rPr>
              <w:t xml:space="preserve">4</w:t>
            </w:r>
          </w:p>
        </w:tc>
        <w:tc>
          <w:tcPr>
            <w:tcW w:type="dxa" w:w="3400"/>
            <w:tcBorders>
              <w:top w:val="single" w:color="D0D7DE" w:sz="4"/>
              <w:left w:val="single" w:color="D0D7DE" w:sz="4"/>
              <w:bottom w:val="single" w:color="D0D7DE" w:sz="4"/>
              <w:right w:val="single" w:color="D0D7DE" w:sz="4"/>
            </w:tcBorders>
            <w:shd w:fill="FAFBFD" w:val="clear"/>
            <w:tcMar>
              <w:top w:type="dxa" w:w="90"/>
              <w:left w:type="dxa" w:w="140"/>
              <w:bottom w:type="dxa" w:w="90"/>
              <w:right w:type="dxa" w:w="140"/>
            </w:tcMar>
          </w:tcPr>
          <w:p>
            <w:r>
              <w:rPr>
                <w:rFonts w:ascii="Calibri" w:cs="Calibri" w:eastAsia="Calibri" w:hAnsi="Calibri"/>
                <w:color w:val="222222"/>
                <w:sz w:val="20"/>
                <w:szCs w:val="20"/>
              </w:rPr>
              <w:t xml:space="preserve">Booking → first recharge — matched-cohort delta</w:t>
            </w:r>
          </w:p>
        </w:tc>
        <w:tc>
          <w:tcPr>
            <w:tcW w:type="dxa" w:w="5460"/>
            <w:tcBorders>
              <w:top w:val="single" w:color="D0D7DE" w:sz="4"/>
              <w:left w:val="single" w:color="D0D7DE" w:sz="4"/>
              <w:bottom w:val="single" w:color="D0D7DE" w:sz="4"/>
              <w:right w:val="single" w:color="D0D7DE" w:sz="4"/>
            </w:tcBorders>
            <w:shd w:fill="FAFBFD" w:val="clear"/>
            <w:tcMar>
              <w:top w:type="dxa" w:w="90"/>
              <w:left w:type="dxa" w:w="140"/>
              <w:bottom w:type="dxa" w:w="90"/>
              <w:right w:type="dxa" w:w="140"/>
            </w:tcMar>
          </w:tcPr>
          <w:p>
            <w:r>
              <w:rPr>
                <w:rFonts w:ascii="Calibri" w:cs="Calibri" w:eastAsia="Calibri" w:hAnsi="Calibri"/>
                <w:color w:val="222222"/>
                <w:sz w:val="20"/>
                <w:szCs w:val="20"/>
              </w:rPr>
              <w:t xml:space="preserve">TERMINAL ARBITER. Judged as a delta vs creatives run in the same zones/period/conditions, so operational noise cancels.</w:t>
            </w:r>
          </w:p>
        </w:tc>
      </w:tr>
      <w:tr>
        <w:tc>
          <w:tcPr>
            <w:tcW w:type="dxa" w:w="500"/>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r>
              <w:rPr>
                <w:rFonts w:ascii="Calibri" w:cs="Calibri" w:eastAsia="Calibri" w:hAnsi="Calibri"/>
                <w:color w:val="222222"/>
                <w:sz w:val="20"/>
                <w:szCs w:val="20"/>
              </w:rPr>
              <w:t xml:space="preserve">5</w:t>
            </w:r>
          </w:p>
        </w:tc>
        <w:tc>
          <w:tcPr>
            <w:tcW w:type="dxa" w:w="3400"/>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r>
              <w:rPr>
                <w:rFonts w:ascii="Calibri" w:cs="Calibri" w:eastAsia="Calibri" w:hAnsi="Calibri"/>
                <w:color w:val="222222"/>
                <w:sz w:val="20"/>
                <w:szCs w:val="20"/>
              </w:rPr>
              <w:t xml:space="preserve">Upstream comprehension proxy</w:t>
            </w:r>
          </w:p>
        </w:tc>
        <w:tc>
          <w:tcPr>
            <w:tcW w:type="dxa" w:w="5460"/>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r>
              <w:rPr>
                <w:rFonts w:ascii="Calibri" w:cs="Calibri" w:eastAsia="Calibri" w:hAnsi="Calibri"/>
                <w:color w:val="222222"/>
                <w:sz w:val="20"/>
                <w:szCs w:val="20"/>
              </w:rPr>
              <w:t xml:space="preserve">A fast read of expectation-setting (booking-flow behavior / one-tap check) available days before first-recharge lands. Confirms the creative set a recharge expectation, not a WiFi one.</w:t>
            </w:r>
          </w:p>
        </w:tc>
      </w:tr>
      <w:tr>
        <w:tc>
          <w:tcPr>
            <w:tcW w:type="dxa" w:w="500"/>
            <w:tcBorders>
              <w:top w:val="single" w:color="D0D7DE" w:sz="4"/>
              <w:left w:val="single" w:color="D0D7DE" w:sz="4"/>
              <w:bottom w:val="single" w:color="D0D7DE" w:sz="4"/>
              <w:right w:val="single" w:color="D0D7DE" w:sz="4"/>
            </w:tcBorders>
            <w:shd w:fill="FAFBFD" w:val="clear"/>
            <w:tcMar>
              <w:top w:type="dxa" w:w="90"/>
              <w:left w:type="dxa" w:w="140"/>
              <w:bottom w:type="dxa" w:w="90"/>
              <w:right w:type="dxa" w:w="140"/>
            </w:tcMar>
          </w:tcPr>
          <w:p>
            <w:r>
              <w:rPr>
                <w:rFonts w:ascii="Calibri" w:cs="Calibri" w:eastAsia="Calibri" w:hAnsi="Calibri"/>
                <w:color w:val="222222"/>
                <w:sz w:val="20"/>
                <w:szCs w:val="20"/>
              </w:rPr>
              <w:t xml:space="preserve">6</w:t>
            </w:r>
          </w:p>
        </w:tc>
        <w:tc>
          <w:tcPr>
            <w:tcW w:type="dxa" w:w="3400"/>
            <w:tcBorders>
              <w:top w:val="single" w:color="D0D7DE" w:sz="4"/>
              <w:left w:val="single" w:color="D0D7DE" w:sz="4"/>
              <w:bottom w:val="single" w:color="D0D7DE" w:sz="4"/>
              <w:right w:val="single" w:color="D0D7DE" w:sz="4"/>
            </w:tcBorders>
            <w:shd w:fill="FAFBFD" w:val="clear"/>
            <w:tcMar>
              <w:top w:type="dxa" w:w="90"/>
              <w:left w:type="dxa" w:w="140"/>
              <w:bottom w:type="dxa" w:w="90"/>
              <w:right w:type="dxa" w:w="140"/>
            </w:tcMar>
          </w:tcPr>
          <w:p>
            <w:r>
              <w:rPr>
                <w:rFonts w:ascii="Calibri" w:cs="Calibri" w:eastAsia="Calibri" w:hAnsi="Calibri"/>
                <w:color w:val="222222"/>
                <w:sz w:val="20"/>
                <w:szCs w:val="20"/>
              </w:rPr>
              <w:t xml:space="preserve">D7 / D30 cohort quality + complaints</w:t>
            </w:r>
          </w:p>
        </w:tc>
        <w:tc>
          <w:tcPr>
            <w:tcW w:type="dxa" w:w="5460"/>
            <w:tcBorders>
              <w:top w:val="single" w:color="D0D7DE" w:sz="4"/>
              <w:left w:val="single" w:color="D0D7DE" w:sz="4"/>
              <w:bottom w:val="single" w:color="D0D7DE" w:sz="4"/>
              <w:right w:val="single" w:color="D0D7DE" w:sz="4"/>
            </w:tcBorders>
            <w:shd w:fill="FAFBFD" w:val="clear"/>
            <w:tcMar>
              <w:top w:type="dxa" w:w="90"/>
              <w:left w:type="dxa" w:w="140"/>
              <w:bottom w:type="dxa" w:w="90"/>
              <w:right w:type="dxa" w:w="140"/>
            </w:tcMar>
          </w:tcPr>
          <w:p>
            <w:r>
              <w:rPr>
                <w:rFonts w:ascii="Calibri" w:cs="Calibri" w:eastAsia="Calibri" w:hAnsi="Calibri"/>
                <w:color w:val="222222"/>
                <w:sz w:val="20"/>
                <w:szCs w:val="20"/>
              </w:rPr>
              <w:t xml:space="preserve">Lagging health. Confirms the booking was sustaining, not just shape-aware.</w:t>
            </w:r>
          </w:p>
        </w:tc>
      </w:tr>
    </w:tbl>
    <w:p>
      <w:pPr>
        <w:spacing w:before="120"/>
      </w:pPr>
      <w:r>
        <w:rPr>
          <w:rFonts w:ascii="Calibri" w:cs="Calibri" w:eastAsia="Calibri" w:hAnsi="Calibri"/>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AEA" w:sz="4"/>
              <w:left w:val="single" w:color="C62828" w:sz="24"/>
              <w:bottom w:val="single" w:color="FBEAEA" w:sz="4"/>
              <w:right w:val="single" w:color="FBEAEA" w:sz="4"/>
            </w:tcBorders>
            <w:shd w:fill="FBEAEA" w:val="clear"/>
            <w:tcMar>
              <w:top w:type="dxa" w:w="120"/>
              <w:left w:type="dxa" w:w="220"/>
              <w:bottom w:type="dxa" w:w="120"/>
              <w:right w:type="dxa" w:w="200"/>
            </w:tcMar>
          </w:tcPr>
          <w:p>
            <w:pPr>
              <w:spacing w:after="60" w:before="40"/>
            </w:pPr>
            <w:r>
              <w:rPr>
                <w:rFonts w:ascii="Calibri" w:cs="Calibri" w:eastAsia="Calibri" w:hAnsi="Calibri"/>
                <w:b/>
                <w:bCs/>
                <w:color w:val="C62828"/>
                <w:sz w:val="18"/>
                <w:szCs w:val="18"/>
              </w:rPr>
              <w:t xml:space="preserve">CRITICAL</w:t>
            </w:r>
          </w:p>
          <w:p>
            <w:pPr>
              <w:spacing w:after="40" w:before="40" w:line="300"/>
            </w:pPr>
            <w:r>
              <w:rPr>
                <w:rFonts w:ascii="Calibri" w:cs="Calibri" w:eastAsia="Calibri" w:hAnsi="Calibri"/>
                <w:color w:val="222222"/>
                <w:sz w:val="22"/>
                <w:szCs w:val="22"/>
              </w:rPr>
              <w:t xml:space="preserve">Why first-recharge is read as a delta, not an absolute. First-recharge is a joint outcome — it reflects creative quality AND install experience AND network AND recharge UX. Judged in absolute terms, a good creative gets blamed for an install-team failure. Judged as a delta between creatives run under the same operational conditions, the operational noise cancels and the difference is attributable to the creative. The upstream comprehension proxy (row 5) gives the team a fast, less-confounded signal while first-recharge confirms.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AEA" w:sz="4"/>
              <w:left w:val="single" w:color="C62828" w:sz="24"/>
              <w:bottom w:val="single" w:color="FBEAEA" w:sz="4"/>
              <w:right w:val="single" w:color="FBEAEA" w:sz="4"/>
            </w:tcBorders>
            <w:shd w:fill="FBEAEA" w:val="clear"/>
            <w:tcMar>
              <w:top w:type="dxa" w:w="120"/>
              <w:left w:type="dxa" w:w="220"/>
              <w:bottom w:type="dxa" w:w="120"/>
              <w:right w:type="dxa" w:w="200"/>
            </w:tcMar>
          </w:tcPr>
          <w:p>
            <w:pPr>
              <w:spacing w:after="60" w:before="40"/>
            </w:pPr>
            <w:r>
              <w:rPr>
                <w:rFonts w:ascii="Calibri" w:cs="Calibri" w:eastAsia="Calibri" w:hAnsi="Calibri"/>
                <w:b/>
                <w:bCs/>
                <w:color w:val="C62828"/>
                <w:sz w:val="18"/>
                <w:szCs w:val="18"/>
              </w:rPr>
              <w:t xml:space="preserve">CRITICAL</w:t>
            </w:r>
          </w:p>
          <w:p>
            <w:pPr>
              <w:spacing w:after="40" w:before="40" w:line="300"/>
            </w:pPr>
            <w:r>
              <w:rPr>
                <w:rFonts w:ascii="Calibri" w:cs="Calibri" w:eastAsia="Calibri" w:hAnsi="Calibri"/>
                <w:color w:val="222222"/>
                <w:sz w:val="22"/>
                <w:szCs w:val="22"/>
              </w:rPr>
              <w:t xml:space="preserve">CTR is the trap; first-recharge is the truth. A creative with high CTR and weak first-recharge is not a winner with a downstream problem — it is a contamination signal, attracting the wrong belief. Sustained, that is a kill condition, not an optimization target.</w:t>
            </w:r>
          </w:p>
        </w:tc>
      </w:tr>
    </w:tbl>
    <w:p>
      <w:pPr>
        <w:pStyle w:val="Heading2"/>
        <w:spacing w:after="140" w:before="280"/>
      </w:pPr>
      <w:r>
        <w:rPr>
          <w:rFonts w:ascii="Calibri" w:cs="Calibri" w:eastAsia="Calibri" w:hAnsi="Calibri"/>
          <w:b/>
          <w:bCs/>
          <w:color w:val="443152"/>
          <w:sz w:val="27"/>
          <w:szCs w:val="27"/>
        </w:rPr>
        <w:t xml:space="preserve">Operational definitions (draft — team to finalize for v1.0)</w:t>
      </w:r>
    </w:p>
    <w:p>
      <w:pPr>
        <w:spacing w:after="100" w:before="100" w:line="320"/>
      </w:pPr>
      <w:r>
        <w:rPr>
          <w:rFonts w:ascii="Calibri" w:cs="Calibri" w:eastAsia="Calibri" w:hAnsi="Calibri"/>
          <w:color w:val="222222"/>
          <w:sz w:val="22"/>
          <w:szCs w:val="22"/>
        </w:rPr>
        <w:t xml:space="preserve">The arbiter is only as good as these three definitions. v0.9 scaffolds them; the operational parameters are owned and closed for v1.0 (see §11).</w:t>
      </w:r>
    </w:p>
    <w:p>
      <w:pPr>
        <w:pStyle w:val="ListParagraph"/>
        <w:numPr>
          <w:ilvl w:val="0"/>
          <w:numId w:val="2"/>
        </w:numPr>
        <w:spacing w:after="60" w:before="60" w:line="320"/>
      </w:pPr>
      <w:r>
        <w:rPr>
          <w:rFonts w:ascii="Calibri" w:cs="Calibri" w:eastAsia="Calibri" w:hAnsi="Calibri"/>
          <w:b/>
          <w:bCs/>
          <w:color w:val="222222"/>
          <w:sz w:val="22"/>
          <w:szCs w:val="22"/>
        </w:rPr>
        <w:t xml:space="preserve">Matched cohort. </w:t>
      </w:r>
      <w:r>
        <w:rPr>
          <w:rFonts w:ascii="Calibri" w:cs="Calibri" w:eastAsia="Calibri" w:hAnsi="Calibri"/>
          <w:color w:val="222222"/>
          <w:sz w:val="22"/>
          <w:szCs w:val="22"/>
        </w:rPr>
        <w:t xml:space="preserve">Two creatives are comparable only when these are held constant: same zone (or zone-cluster of equivalent serviceability), overlapping run dates (not different weeks), same campaign objective and funnel stage, and same capacity state (both running under the same zone headroom). Tolerances — acceptable date overlap, zone-cluster equivalence — to be ratified by Guneet with the data lead, since they depend on how zones and capacity are tracked. Without this definition, comparisons are gameable.</w:t>
      </w:r>
    </w:p>
    <w:p>
      <w:pPr>
        <w:pStyle w:val="ListParagraph"/>
        <w:numPr>
          <w:ilvl w:val="0"/>
          <w:numId w:val="2"/>
        </w:numPr>
        <w:spacing w:after="60" w:before="60" w:line="320"/>
      </w:pPr>
      <w:r>
        <w:rPr>
          <w:rFonts w:ascii="Calibri" w:cs="Calibri" w:eastAsia="Calibri" w:hAnsi="Calibri"/>
          <w:b/>
          <w:bCs/>
          <w:color w:val="222222"/>
          <w:sz w:val="22"/>
          <w:szCs w:val="22"/>
        </w:rPr>
        <w:t xml:space="preserve">Upstream comprehension proxy. </w:t>
      </w:r>
      <w:r>
        <w:rPr>
          <w:rFonts w:ascii="Calibri" w:cs="Calibri" w:eastAsia="Calibri" w:hAnsi="Calibri"/>
          <w:color w:val="222222"/>
          <w:sz w:val="22"/>
          <w:szCs w:val="22"/>
        </w:rPr>
        <w:t xml:space="preserve">Candidate signals (select 2–3 and instrument; owned by Guneet + product/data): an explicit recharge-expectation confirmation in the booking flow; “how it works” completion before booking; recharge-shape language in the cohort’s CC / chat / search queries. The proxy reads whether the creative set a recharge expectation — available days before first-recharge lands.</w:t>
      </w:r>
    </w:p>
    <w:p>
      <w:pPr>
        <w:pStyle w:val="ListParagraph"/>
        <w:numPr>
          <w:ilvl w:val="0"/>
          <w:numId w:val="2"/>
        </w:numPr>
        <w:spacing w:after="60" w:before="60" w:line="320"/>
      </w:pPr>
      <w:r>
        <w:rPr>
          <w:rFonts w:ascii="Calibri" w:cs="Calibri" w:eastAsia="Calibri" w:hAnsi="Calibri"/>
          <w:b/>
          <w:bCs/>
          <w:color w:val="222222"/>
          <w:sz w:val="22"/>
          <w:szCs w:val="22"/>
        </w:rPr>
        <w:t xml:space="preserve">Install / service exclusion. </w:t>
      </w:r>
      <w:r>
        <w:rPr>
          <w:rFonts w:ascii="Calibri" w:cs="Calibri" w:eastAsia="Calibri" w:hAnsi="Calibri"/>
          <w:color w:val="222222"/>
          <w:sz w:val="22"/>
          <w:szCs w:val="22"/>
        </w:rPr>
        <w:t xml:space="preserve">Exclude from the matched-cohort comparison any sub-cohort whose install-SLA breach rate exceeds a set threshold, so a creative is not penalized on first-recharge for a service failure it did not cause. Threshold owned by Guneet + ops.</w:t>
      </w:r>
    </w:p>
    <w:p>
      <w:pPr>
        <w:pStyle w:val="Heading1"/>
        <w:spacing w:after="200" w:before="360"/>
      </w:pPr>
      <w:r>
        <w:rPr>
          <w:rFonts w:ascii="Calibri" w:cs="Calibri" w:eastAsia="Calibri" w:hAnsi="Calibri"/>
          <w:b/>
          <w:bCs/>
          <w:color w:val="443152"/>
          <w:sz w:val="34"/>
          <w:szCs w:val="34"/>
        </w:rPr>
        <w:t xml:space="preserve">§7 — The selection rule</w:t>
      </w:r>
    </w:p>
    <w:p>
      <w:pPr>
        <w:spacing w:after="100" w:before="100" w:line="320"/>
      </w:pPr>
      <w:r>
        <w:rPr>
          <w:rFonts w:ascii="Calibri" w:cs="Calibri" w:eastAsia="Calibri" w:hAnsi="Calibri"/>
          <w:color w:val="222222"/>
          <w:sz w:val="22"/>
          <w:szCs w:val="22"/>
        </w:rPr>
        <w:t xml:space="preserve">The decision the whole framework exists to make, written explicitly so two people reach the same verdict on the same creative.</w:t>
      </w:r>
    </w:p>
    <w:p>
      <w:pPr>
        <w:pStyle w:val="ListParagraph"/>
        <w:numPr>
          <w:ilvl w:val="0"/>
          <w:numId w:val="3"/>
        </w:numPr>
        <w:spacing w:after="60" w:before="60" w:line="320"/>
      </w:pPr>
      <w:r>
        <w:rPr>
          <w:rFonts w:ascii="Calibri" w:cs="Calibri" w:eastAsia="Calibri" w:hAnsi="Calibri"/>
          <w:b/>
          <w:bCs/>
          <w:color w:val="222222"/>
          <w:sz w:val="22"/>
          <w:szCs w:val="22"/>
        </w:rPr>
        <w:t xml:space="preserve">Gate check. </w:t>
      </w:r>
      <w:r>
        <w:rPr>
          <w:rFonts w:ascii="Calibri" w:cs="Calibri" w:eastAsia="Calibri" w:hAnsi="Calibri"/>
          <w:color w:val="222222"/>
          <w:sz w:val="22"/>
          <w:szCs w:val="22"/>
        </w:rPr>
        <w:t xml:space="preserve">Passes both gates (§3)? If no → REJECT, regardless of performance. No override.</w:t>
      </w:r>
    </w:p>
    <w:p>
      <w:pPr>
        <w:pStyle w:val="ListParagraph"/>
        <w:numPr>
          <w:ilvl w:val="0"/>
          <w:numId w:val="3"/>
        </w:numPr>
        <w:spacing w:after="60" w:before="60" w:line="320"/>
      </w:pPr>
      <w:r>
        <w:rPr>
          <w:rFonts w:ascii="Calibri" w:cs="Calibri" w:eastAsia="Calibri" w:hAnsi="Calibri"/>
          <w:b/>
          <w:bCs/>
          <w:color w:val="222222"/>
          <w:sz w:val="22"/>
          <w:szCs w:val="22"/>
        </w:rPr>
        <w:t xml:space="preserve">Run and score. </w:t>
      </w:r>
      <w:r>
        <w:rPr>
          <w:rFonts w:ascii="Calibri" w:cs="Calibri" w:eastAsia="Calibri" w:hAnsi="Calibri"/>
          <w:color w:val="222222"/>
          <w:sz w:val="22"/>
          <w:szCs w:val="22"/>
        </w:rPr>
        <w:t xml:space="preserve">If it passes, run it and score on the outcome ladder (§6). First-recharge matched-cohort delta is the arbiter; the comprehension proxy is the early read.</w:t>
      </w:r>
    </w:p>
    <w:p>
      <w:pPr>
        <w:pStyle w:val="ListParagraph"/>
        <w:numPr>
          <w:ilvl w:val="0"/>
          <w:numId w:val="3"/>
        </w:numPr>
        <w:spacing w:after="60" w:before="60" w:line="320"/>
      </w:pPr>
      <w:r>
        <w:rPr>
          <w:rFonts w:ascii="Calibri" w:cs="Calibri" w:eastAsia="Calibri" w:hAnsi="Calibri"/>
          <w:b/>
          <w:bCs/>
          <w:color w:val="222222"/>
          <w:sz w:val="22"/>
          <w:szCs w:val="22"/>
        </w:rPr>
        <w:t xml:space="preserve">Decide. </w:t>
      </w:r>
      <w:r>
        <w:rPr>
          <w:rFonts w:ascii="Calibri" w:cs="Calibri" w:eastAsia="Calibri" w:hAnsi="Calibri"/>
          <w:color w:val="222222"/>
          <w:sz w:val="22"/>
          <w:szCs w:val="22"/>
        </w:rPr>
        <w:t xml:space="preserve">Apply the three-way rule below.</w:t>
      </w:r>
    </w:p>
    <w:p>
      <w:pPr>
        <w:pStyle w:val="ListParagraph"/>
        <w:numPr>
          <w:ilvl w:val="0"/>
          <w:numId w:val="3"/>
        </w:numPr>
        <w:spacing w:after="60" w:before="60" w:line="320"/>
      </w:pPr>
      <w:r>
        <w:rPr>
          <w:rFonts w:ascii="Calibri" w:cs="Calibri" w:eastAsia="Calibri" w:hAnsi="Calibri"/>
          <w:b/>
          <w:bCs/>
          <w:color w:val="222222"/>
          <w:sz w:val="22"/>
          <w:szCs w:val="22"/>
        </w:rPr>
        <w:t xml:space="preserve">Tag, always. </w:t>
      </w:r>
      <w:r>
        <w:rPr>
          <w:rFonts w:ascii="Calibri" w:cs="Calibri" w:eastAsia="Calibri" w:hAnsi="Calibri"/>
          <w:color w:val="222222"/>
          <w:sz w:val="22"/>
          <w:szCs w:val="22"/>
        </w:rPr>
        <w:t xml:space="preserve">Win or loss, tag on all four test variables + determined CTA + outcome scores, filed in the Creative Library. Every creative is a learning unit.</w:t>
      </w:r>
    </w:p>
    <w:p>
      <w:pPr>
        <w:pStyle w:val="Heading2"/>
        <w:spacing w:after="140" w:before="280"/>
      </w:pPr>
      <w:r>
        <w:rPr>
          <w:rFonts w:ascii="Calibri" w:cs="Calibri" w:eastAsia="Calibri" w:hAnsi="Calibri"/>
          <w:b/>
          <w:bCs/>
          <w:color w:val="443152"/>
          <w:sz w:val="27"/>
          <w:szCs w:val="27"/>
        </w:rPr>
        <w:t xml:space="preserve">The three-way decision</w:t>
      </w:r>
    </w:p>
    <w:p>
      <w:pPr>
        <w:spacing w:after="100" w:before="100" w:line="320"/>
      </w:pPr>
      <w:r>
        <w:rPr>
          <w:rFonts w:ascii="Calibri" w:cs="Calibri" w:eastAsia="Calibri" w:hAnsi="Calibri"/>
          <w:color w:val="222222"/>
          <w:sz w:val="22"/>
          <w:szCs w:val="22"/>
        </w:rPr>
        <w:t xml:space="preserve">SCALE — passes both gates, and first-recharge delta is at or above the matched-cohort benchmark. Right belief, right user. Scale within capacity-gated zones.</w:t>
      </w:r>
    </w:p>
    <w:p>
      <w:pPr>
        <w:spacing w:after="100" w:before="100" w:line="320"/>
      </w:pPr>
      <w:r>
        <w:rPr>
          <w:rFonts w:ascii="Calibri" w:cs="Calibri" w:eastAsia="Calibri" w:hAnsi="Calibri"/>
          <w:color w:val="222222"/>
          <w:sz w:val="22"/>
          <w:szCs w:val="22"/>
        </w:rPr>
        <w:t xml:space="preserve">ITERATE — passes both gates, strong upper funnel but weak first-recharge / weak comprehension proxy. The hook works; the promise is wrong. Fix the category frame (usually the close), hold everything else constant, re-test.</w:t>
      </w:r>
    </w:p>
    <w:p>
      <w:pPr>
        <w:spacing w:after="100" w:before="100" w:line="320"/>
      </w:pPr>
      <w:r>
        <w:rPr>
          <w:rFonts w:ascii="Calibri" w:cs="Calibri" w:eastAsia="Calibri" w:hAnsi="Calibri"/>
          <w:color w:val="222222"/>
          <w:sz w:val="22"/>
          <w:szCs w:val="22"/>
        </w:rPr>
        <w:t xml:space="preserve">KILL — fails either gate; OR weak across the ladder; OR high CTR with sustained low first-recharge (contamination). Kill fast — a contaminating creative damages recharge quality and mohalla trust every day it 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7E0" w:sz="4"/>
              <w:left w:val="single" w:color="B8860B" w:sz="24"/>
              <w:bottom w:val="single" w:color="FFF7E0" w:sz="4"/>
              <w:right w:val="single" w:color="FFF7E0" w:sz="4"/>
            </w:tcBorders>
            <w:shd w:fill="FFF7E0" w:val="clear"/>
            <w:tcMar>
              <w:top w:type="dxa" w:w="120"/>
              <w:left w:type="dxa" w:w="220"/>
              <w:bottom w:type="dxa" w:w="120"/>
              <w:right w:type="dxa" w:w="200"/>
            </w:tcMar>
          </w:tcPr>
          <w:p>
            <w:pPr>
              <w:spacing w:after="60" w:before="40"/>
            </w:pPr>
            <w:r>
              <w:rPr>
                <w:rFonts w:ascii="Calibri" w:cs="Calibri" w:eastAsia="Calibri" w:hAnsi="Calibri"/>
                <w:b/>
                <w:bCs/>
                <w:color w:val="B8860B"/>
                <w:sz w:val="18"/>
                <w:szCs w:val="18"/>
              </w:rPr>
              <w:t xml:space="preserve">RULE</w:t>
            </w:r>
          </w:p>
          <w:p>
            <w:pPr>
              <w:spacing w:after="40" w:before="40" w:line="300"/>
            </w:pPr>
            <w:r>
              <w:rPr>
                <w:rFonts w:ascii="Calibri" w:cs="Calibri" w:eastAsia="Calibri" w:hAnsi="Calibri"/>
                <w:color w:val="222222"/>
                <w:sz w:val="22"/>
                <w:szCs w:val="22"/>
              </w:rPr>
              <w:t xml:space="preserve">Default bias is kill, not nurture. Activation creative is cheap to produce and the corpus compounds. A creative that does not clearly earn SCALE or ITERATE is killed, and its tags feed the pattern library. Holding marginal creative alive “to see” is how contamination accumulates.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EF2F7" w:sz="4"/>
              <w:left w:val="single" w:color="5A6B80" w:sz="24"/>
              <w:bottom w:val="single" w:color="EEF2F7" w:sz="4"/>
              <w:right w:val="single" w:color="EEF2F7" w:sz="4"/>
            </w:tcBorders>
            <w:shd w:fill="EEF2F7" w:val="clear"/>
            <w:tcMar>
              <w:top w:type="dxa" w:w="120"/>
              <w:left w:type="dxa" w:w="220"/>
              <w:bottom w:type="dxa" w:w="120"/>
              <w:right w:type="dxa" w:w="200"/>
            </w:tcMar>
          </w:tcPr>
          <w:p>
            <w:pPr>
              <w:spacing w:after="60" w:before="40"/>
            </w:pPr>
            <w:r>
              <w:rPr>
                <w:rFonts w:ascii="Calibri" w:cs="Calibri" w:eastAsia="Calibri" w:hAnsi="Calibri"/>
                <w:b/>
                <w:bCs/>
                <w:color w:val="5A6B80"/>
                <w:sz w:val="18"/>
                <w:szCs w:val="18"/>
              </w:rPr>
              <w:t xml:space="preserve">NOTE</w:t>
            </w:r>
          </w:p>
          <w:p>
            <w:pPr>
              <w:spacing w:after="40" w:before="40" w:line="300"/>
            </w:pPr>
            <w:r>
              <w:rPr>
                <w:rFonts w:ascii="Calibri" w:cs="Calibri" w:eastAsia="Calibri" w:hAnsi="Calibri"/>
                <w:color w:val="222222"/>
                <w:sz w:val="22"/>
                <w:szCs w:val="22"/>
              </w:rPr>
              <w:t xml:space="preserve">Numeric thresholds (draft — team to finalize for v1.0). The three-way decision needs numeric triggers to be applied consistently: CTR relative to benchmark, and first-recharge delta of ±X% sustained over a cohort of size N for D days. The actual numbers must be DERIVED from the volume’s minimum detectable effect — picked arbitrarily, they fire on noise. Until the data lead sets them, decisions are directional, not automated. Owned by Guneet + data lead.</w:t>
            </w:r>
          </w:p>
        </w:tc>
      </w:tr>
    </w:tbl>
    <w:p>
      <w:pPr>
        <w:pStyle w:val="Heading1"/>
        <w:spacing w:after="200" w:before="360"/>
      </w:pPr>
      <w:r>
        <w:rPr>
          <w:rFonts w:ascii="Calibri" w:cs="Calibri" w:eastAsia="Calibri" w:hAnsi="Calibri"/>
          <w:b/>
          <w:bCs/>
          <w:color w:val="443152"/>
          <w:sz w:val="34"/>
          <w:szCs w:val="34"/>
        </w:rPr>
        <w:t xml:space="preserve">§8 — Tagging, pattern detection &amp; statistical discipline</w:t>
      </w:r>
    </w:p>
    <w:p>
      <w:pPr>
        <w:spacing w:after="100" w:before="100" w:line="320"/>
      </w:pPr>
      <w:r>
        <w:rPr>
          <w:rFonts w:ascii="Calibri" w:cs="Calibri" w:eastAsia="Calibri" w:hAnsi="Calibri"/>
          <w:color w:val="222222"/>
          <w:sz w:val="22"/>
          <w:szCs w:val="22"/>
        </w:rPr>
        <w:t xml:space="preserve">Tags do not decide — gates and outcomes decide. Tags explain. Their job is to let the team detect, across the corpus over time, which structural choices correlate with deeper ladder progression.</w:t>
      </w:r>
    </w:p>
    <w:p>
      <w:pPr>
        <w:pStyle w:val="ListParagraph"/>
        <w:numPr>
          <w:ilvl w:val="0"/>
          <w:numId w:val="2"/>
        </w:numPr>
        <w:spacing w:after="60" w:before="60" w:line="320"/>
      </w:pPr>
      <w:r>
        <w:rPr>
          <w:rFonts w:ascii="Calibri" w:cs="Calibri" w:eastAsia="Calibri" w:hAnsi="Calibri"/>
          <w:b/>
          <w:bCs/>
          <w:color w:val="222222"/>
          <w:sz w:val="22"/>
          <w:szCs w:val="22"/>
        </w:rPr>
        <w:t xml:space="preserve">Tag every creative </w:t>
      </w:r>
      <w:r>
        <w:rPr>
          <w:rFonts w:ascii="Calibri" w:cs="Calibri" w:eastAsia="Calibri" w:hAnsi="Calibri"/>
          <w:color w:val="222222"/>
          <w:sz w:val="22"/>
          <w:szCs w:val="22"/>
        </w:rPr>
        <w:t xml:space="preserve">on the four test variables + determined CTA + outcome scores, filed in the Creative Library.</w:t>
      </w:r>
    </w:p>
    <w:p>
      <w:pPr>
        <w:pStyle w:val="ListParagraph"/>
        <w:numPr>
          <w:ilvl w:val="0"/>
          <w:numId w:val="2"/>
        </w:numPr>
        <w:spacing w:after="60" w:before="60" w:line="320"/>
      </w:pPr>
      <w:r>
        <w:rPr>
          <w:rFonts w:ascii="Calibri" w:cs="Calibri" w:eastAsia="Calibri" w:hAnsi="Calibri"/>
          <w:b/>
          <w:bCs/>
          <w:color w:val="222222"/>
          <w:sz w:val="22"/>
          <w:szCs w:val="22"/>
        </w:rPr>
        <w:t xml:space="preserve">Test single-variable. </w:t>
      </w:r>
      <w:r>
        <w:rPr>
          <w:rFonts w:ascii="Calibri" w:cs="Calibri" w:eastAsia="Calibri" w:hAnsi="Calibri"/>
          <w:color w:val="222222"/>
          <w:sz w:val="22"/>
          <w:szCs w:val="22"/>
        </w:rPr>
        <w:t xml:space="preserve">Change one variable at a time, hold the rest constant. Cocktail tests are banned for decision-grade learning.</w:t>
      </w:r>
    </w:p>
    <w:p>
      <w:pPr>
        <w:pStyle w:val="ListParagraph"/>
        <w:numPr>
          <w:ilvl w:val="0"/>
          <w:numId w:val="2"/>
        </w:numPr>
        <w:spacing w:after="60" w:before="60" w:line="320"/>
      </w:pPr>
      <w:r>
        <w:rPr>
          <w:rFonts w:ascii="Calibri" w:cs="Calibri" w:eastAsia="Calibri" w:hAnsi="Calibri"/>
          <w:b/>
          <w:bCs/>
          <w:color w:val="222222"/>
          <w:sz w:val="22"/>
          <w:szCs w:val="22"/>
        </w:rPr>
        <w:t xml:space="preserve">Detect patterns retrospectively. </w:t>
      </w:r>
      <w:r>
        <w:rPr>
          <w:rFonts w:ascii="Calibri" w:cs="Calibri" w:eastAsia="Calibri" w:hAnsi="Calibri"/>
          <w:color w:val="222222"/>
          <w:sz w:val="22"/>
          <w:szCs w:val="22"/>
        </w:rPr>
        <w:t xml:space="preserve">Across the tagged corpus, look for which values correlate with stronger first-recharge — not prospective combination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EF2F7" w:sz="4"/>
              <w:left w:val="single" w:color="5A6B80" w:sz="24"/>
              <w:bottom w:val="single" w:color="EEF2F7" w:sz="4"/>
              <w:right w:val="single" w:color="EEF2F7" w:sz="4"/>
            </w:tcBorders>
            <w:shd w:fill="EEF2F7" w:val="clear"/>
            <w:tcMar>
              <w:top w:type="dxa" w:w="120"/>
              <w:left w:type="dxa" w:w="220"/>
              <w:bottom w:type="dxa" w:w="120"/>
              <w:right w:type="dxa" w:w="200"/>
            </w:tcMar>
          </w:tcPr>
          <w:p>
            <w:pPr>
              <w:spacing w:after="60" w:before="40"/>
            </w:pPr>
            <w:r>
              <w:rPr>
                <w:rFonts w:ascii="Calibri" w:cs="Calibri" w:eastAsia="Calibri" w:hAnsi="Calibri"/>
                <w:b/>
                <w:bCs/>
                <w:color w:val="5A6B80"/>
                <w:sz w:val="18"/>
                <w:szCs w:val="18"/>
              </w:rPr>
              <w:t xml:space="preserve">NOTE</w:t>
            </w:r>
          </w:p>
          <w:p>
            <w:pPr>
              <w:spacing w:after="40" w:before="40" w:line="300"/>
            </w:pPr>
            <w:r>
              <w:rPr>
                <w:rFonts w:ascii="Calibri" w:cs="Calibri" w:eastAsia="Calibri" w:hAnsi="Calibri"/>
                <w:color w:val="222222"/>
                <w:sz w:val="22"/>
                <w:szCs w:val="22"/>
              </w:rPr>
              <w:t xml:space="preserve">Volume reality. At current booking volume, combination significance is unaffordable — hundreds of thousands of theoretical combinations, and you can barely power a single-variable test. TEST one variable; TAG everything; let combination patterns emerge retrospectively as the corpus grows. Any claimed winning “combination” is a hypothesis, not a finding, until volume can power it. Do not kill or scale on differences the volume cannot distinguish.</w:t>
            </w:r>
          </w:p>
        </w:tc>
      </w:tr>
    </w:tbl>
    <w:p>
      <w:pPr>
        <w:pStyle w:val="Heading1"/>
        <w:spacing w:after="200" w:before="360"/>
      </w:pPr>
      <w:r>
        <w:rPr>
          <w:rFonts w:ascii="Calibri" w:cs="Calibri" w:eastAsia="Calibri" w:hAnsi="Calibri"/>
          <w:b/>
          <w:bCs/>
          <w:color w:val="443152"/>
          <w:sz w:val="34"/>
          <w:szCs w:val="34"/>
        </w:rPr>
        <w:t xml:space="preserve">§9 — Design principles (rationale for the reviewer)</w:t>
      </w:r>
    </w:p>
    <w:p>
      <w:pPr>
        <w:spacing w:after="100" w:before="100" w:line="320"/>
      </w:pPr>
      <w:r>
        <w:rPr>
          <w:rFonts w:ascii="Calibri" w:cs="Calibri" w:eastAsia="Calibri" w:hAnsi="Calibri"/>
          <w:color w:val="222222"/>
          <w:sz w:val="22"/>
          <w:szCs w:val="22"/>
        </w:rPr>
        <w:t xml:space="preserve">The principles the architecture encodes. If you disagree with the framework, this is the level to disagree at.</w:t>
      </w:r>
    </w:p>
    <w:p>
      <w:pPr>
        <w:pStyle w:val="ListParagraph"/>
        <w:numPr>
          <w:ilvl w:val="0"/>
          <w:numId w:val="4"/>
        </w:numPr>
        <w:spacing w:after="60" w:before="60" w:line="320"/>
      </w:pPr>
      <w:r>
        <w:rPr>
          <w:rFonts w:ascii="Calibri" w:cs="Calibri" w:eastAsia="Calibri" w:hAnsi="Calibri"/>
          <w:b/>
          <w:bCs/>
          <w:color w:val="222222"/>
          <w:sz w:val="22"/>
          <w:szCs w:val="22"/>
        </w:rPr>
        <w:t xml:space="preserve">Gates before variables. </w:t>
      </w:r>
      <w:r>
        <w:rPr>
          <w:rFonts w:ascii="Calibri" w:cs="Calibri" w:eastAsia="Calibri" w:hAnsi="Calibri"/>
          <w:color w:val="222222"/>
          <w:sz w:val="22"/>
          <w:szCs w:val="22"/>
        </w:rPr>
        <w:t xml:space="preserve">Category integrity is a constraint, not an optimization target. A contaminating creative that converts is still rejected. The structural defense against CTR-led category erosion.</w:t>
      </w:r>
    </w:p>
    <w:p>
      <w:pPr>
        <w:pStyle w:val="ListParagraph"/>
        <w:numPr>
          <w:ilvl w:val="0"/>
          <w:numId w:val="4"/>
        </w:numPr>
        <w:spacing w:after="60" w:before="60" w:line="320"/>
      </w:pPr>
      <w:r>
        <w:rPr>
          <w:rFonts w:ascii="Calibri" w:cs="Calibri" w:eastAsia="Calibri" w:hAnsi="Calibri"/>
          <w:b/>
          <w:bCs/>
          <w:color w:val="222222"/>
          <w:sz w:val="22"/>
          <w:szCs w:val="22"/>
        </w:rPr>
        <w:t xml:space="preserve">One terminal metric, read as a delta. </w:t>
      </w:r>
      <w:r>
        <w:rPr>
          <w:rFonts w:ascii="Calibri" w:cs="Calibri" w:eastAsia="Calibri" w:hAnsi="Calibri"/>
          <w:color w:val="222222"/>
          <w:sz w:val="22"/>
          <w:szCs w:val="22"/>
        </w:rPr>
        <w:t xml:space="preserve">First-recharge, not CTR — and read as a matched-cohort delta so creative is not blamed for operational noise.</w:t>
      </w:r>
    </w:p>
    <w:p>
      <w:pPr>
        <w:pStyle w:val="ListParagraph"/>
        <w:numPr>
          <w:ilvl w:val="0"/>
          <w:numId w:val="4"/>
        </w:numPr>
        <w:spacing w:after="60" w:before="60" w:line="320"/>
      </w:pPr>
      <w:r>
        <w:rPr>
          <w:rFonts w:ascii="Calibri" w:cs="Calibri" w:eastAsia="Calibri" w:hAnsi="Calibri"/>
          <w:b/>
          <w:bCs/>
          <w:color w:val="222222"/>
          <w:sz w:val="22"/>
          <w:szCs w:val="22"/>
        </w:rPr>
        <w:t xml:space="preserve">Scope discipline. </w:t>
      </w:r>
      <w:r>
        <w:rPr>
          <w:rFonts w:ascii="Calibri" w:cs="Calibri" w:eastAsia="Calibri" w:hAnsi="Calibri"/>
          <w:color w:val="222222"/>
          <w:sz w:val="22"/>
          <w:szCs w:val="22"/>
        </w:rPr>
        <w:t xml:space="preserve">This framework governs activation. Top-of-funnel creative has a different job (memory) and a different scorecard, owned separately — so activation creative is never mis-judged against a memory goal, and TOF creative is never mis-judged against first-recharge.</w:t>
      </w:r>
    </w:p>
    <w:p>
      <w:pPr>
        <w:pStyle w:val="ListParagraph"/>
        <w:numPr>
          <w:ilvl w:val="0"/>
          <w:numId w:val="4"/>
        </w:numPr>
        <w:spacing w:after="60" w:before="60" w:line="320"/>
      </w:pPr>
      <w:r>
        <w:rPr>
          <w:rFonts w:ascii="Calibri" w:cs="Calibri" w:eastAsia="Calibri" w:hAnsi="Calibri"/>
          <w:b/>
          <w:bCs/>
          <w:color w:val="222222"/>
          <w:sz w:val="22"/>
          <w:szCs w:val="22"/>
        </w:rPr>
        <w:t xml:space="preserve">Orthogonality matters. </w:t>
      </w:r>
      <w:r>
        <w:rPr>
          <w:rFonts w:ascii="Calibri" w:cs="Calibri" w:eastAsia="Calibri" w:hAnsi="Calibri"/>
          <w:color w:val="222222"/>
          <w:sz w:val="22"/>
          <w:szCs w:val="22"/>
        </w:rPr>
        <w:t xml:space="preserve">Test variables are kept independent so attribution is clean; need-state and story structure are never co-varied in one test.</w:t>
      </w:r>
    </w:p>
    <w:p>
      <w:pPr>
        <w:pStyle w:val="ListParagraph"/>
        <w:numPr>
          <w:ilvl w:val="0"/>
          <w:numId w:val="4"/>
        </w:numPr>
        <w:spacing w:after="60" w:before="60" w:line="320"/>
      </w:pPr>
      <w:r>
        <w:rPr>
          <w:rFonts w:ascii="Calibri" w:cs="Calibri" w:eastAsia="Calibri" w:hAnsi="Calibri"/>
          <w:b/>
          <w:bCs/>
          <w:color w:val="222222"/>
          <w:sz w:val="22"/>
          <w:szCs w:val="22"/>
        </w:rPr>
        <w:t xml:space="preserve">Tagging ≠ selection. </w:t>
      </w:r>
      <w:r>
        <w:rPr>
          <w:rFonts w:ascii="Calibri" w:cs="Calibri" w:eastAsia="Calibri" w:hAnsi="Calibri"/>
          <w:color w:val="222222"/>
          <w:sz w:val="22"/>
          <w:szCs w:val="22"/>
        </w:rPr>
        <w:t xml:space="preserve">Description and decision are different operations; conflating them produces a vocabulary that cannot reject anything.</w:t>
      </w:r>
    </w:p>
    <w:p>
      <w:pPr>
        <w:pStyle w:val="ListParagraph"/>
        <w:numPr>
          <w:ilvl w:val="0"/>
          <w:numId w:val="4"/>
        </w:numPr>
        <w:spacing w:after="60" w:before="60" w:line="320"/>
      </w:pPr>
      <w:r>
        <w:rPr>
          <w:rFonts w:ascii="Calibri" w:cs="Calibri" w:eastAsia="Calibri" w:hAnsi="Calibri"/>
          <w:b/>
          <w:bCs/>
          <w:color w:val="222222"/>
          <w:sz w:val="22"/>
          <w:szCs w:val="22"/>
        </w:rPr>
        <w:t xml:space="preserve">The decision rule is explicit. </w:t>
      </w:r>
      <w:r>
        <w:rPr>
          <w:rFonts w:ascii="Calibri" w:cs="Calibri" w:eastAsia="Calibri" w:hAnsi="Calibri"/>
          <w:color w:val="222222"/>
          <w:sz w:val="22"/>
          <w:szCs w:val="22"/>
        </w:rPr>
        <w:t xml:space="preserve">Kill / scale / iterate is stated so two people apply it identically.</w:t>
      </w:r>
    </w:p>
    <w:p>
      <w:pPr>
        <w:pStyle w:val="Heading1"/>
        <w:spacing w:after="200" w:before="360"/>
      </w:pPr>
      <w:r>
        <w:rPr>
          <w:rFonts w:ascii="Calibri" w:cs="Calibri" w:eastAsia="Calibri" w:hAnsi="Calibri"/>
          <w:b/>
          <w:bCs/>
          <w:color w:val="443152"/>
          <w:sz w:val="34"/>
          <w:szCs w:val="34"/>
        </w:rPr>
        <w:t xml:space="preserve">§10 — Worked example</w:t>
      </w:r>
    </w:p>
    <w:p>
      <w:pPr>
        <w:spacing w:after="100" w:before="100" w:line="320"/>
      </w:pPr>
      <w:r>
        <w:rPr>
          <w:rFonts w:ascii="Calibri" w:cs="Calibri" w:eastAsia="Calibri" w:hAnsi="Calibri"/>
          <w:color w:val="222222"/>
          <w:sz w:val="22"/>
          <w:szCs w:val="22"/>
        </w:rPr>
        <w:t xml:space="preserve">A real candidate run through the framework. The ad:</w:t>
      </w:r>
    </w:p>
    <w:p>
      <w:pPr>
        <w:pBdr>
          <w:left w:val="single" w:color="D9008D" w:sz="18" w:space="12"/>
        </w:pBdr>
        <w:spacing w:after="200" w:before="80" w:line="320"/>
        <w:ind w:left="360"/>
      </w:pPr>
      <w:r>
        <w:rPr>
          <w:rFonts w:ascii="Calibri" w:cs="Calibri" w:eastAsia="Calibri" w:hAnsi="Calibri"/>
          <w:i/>
          <w:iCs/>
          <w:color w:val="222222"/>
          <w:sz w:val="22"/>
          <w:szCs w:val="22"/>
        </w:rPr>
        <w:t xml:space="preserve">“WiFi lene jaa rahe ho? Poore mahine ke paisa doge? Jab nahin chalaoge tab bhi doge? Wiom try karo — jitne din recharge utne din net.”</w:t>
      </w:r>
    </w:p>
    <w:p>
      <w:pPr>
        <w:pStyle w:val="Heading2"/>
        <w:spacing w:after="140" w:before="280"/>
      </w:pPr>
      <w:r>
        <w:rPr>
          <w:rFonts w:ascii="Calibri" w:cs="Calibri" w:eastAsia="Calibri" w:hAnsi="Calibri"/>
          <w:b/>
          <w:bCs/>
          <w:color w:val="443152"/>
          <w:sz w:val="27"/>
          <w:szCs w:val="27"/>
        </w:rPr>
        <w:t xml:space="preserve">Layer 1 — Gates</w:t>
      </w:r>
    </w:p>
    <w:p>
      <w:pPr>
        <w:pStyle w:val="ListParagraph"/>
        <w:numPr>
          <w:ilvl w:val="0"/>
          <w:numId w:val="2"/>
        </w:numPr>
        <w:spacing w:after="60" w:before="60" w:line="320"/>
      </w:pPr>
      <w:r>
        <w:rPr>
          <w:rFonts w:ascii="Calibri" w:cs="Calibri" w:eastAsia="Calibri" w:hAnsi="Calibri"/>
          <w:b/>
          <w:bCs/>
          <w:color w:val="222222"/>
          <w:sz w:val="22"/>
          <w:szCs w:val="22"/>
        </w:rPr>
        <w:t xml:space="preserve">Gate 1 (category-frame integrity): FAIL. </w:t>
      </w:r>
      <w:r>
        <w:rPr>
          <w:rFonts w:ascii="Calibri" w:cs="Calibri" w:eastAsia="Calibri" w:hAnsi="Calibri"/>
          <w:color w:val="222222"/>
          <w:sz w:val="22"/>
          <w:szCs w:val="22"/>
        </w:rPr>
        <w:t xml:space="preserve">The ghar anchor is missing — most likely landing is “flexible cheap WiFi.” Rejected, or returned for fix.</w:t>
      </w:r>
    </w:p>
    <w:p>
      <w:pPr>
        <w:spacing w:after="100" w:before="100" w:line="320"/>
      </w:pPr>
      <w:r>
        <w:rPr>
          <w:rFonts w:ascii="Calibri" w:cs="Calibri" w:eastAsia="Calibri" w:hAnsi="Calibri"/>
          <w:color w:val="222222"/>
          <w:sz w:val="22"/>
          <w:szCs w:val="22"/>
        </w:rPr>
        <w:t xml:space="preserve">Fix applied: “…Wiom try karo — poore ghar ka net, jitne din recharge utne din net.” Four words restore the anchor.</w:t>
      </w:r>
    </w:p>
    <w:p>
      <w:pPr>
        <w:pStyle w:val="ListParagraph"/>
        <w:numPr>
          <w:ilvl w:val="0"/>
          <w:numId w:val="2"/>
        </w:numPr>
        <w:spacing w:after="60" w:before="60" w:line="320"/>
      </w:pPr>
      <w:r>
        <w:rPr>
          <w:rFonts w:ascii="Calibri" w:cs="Calibri" w:eastAsia="Calibri" w:hAnsi="Calibri"/>
          <w:b/>
          <w:bCs/>
          <w:color w:val="222222"/>
          <w:sz w:val="22"/>
          <w:szCs w:val="22"/>
        </w:rPr>
        <w:t xml:space="preserve">Gate 1, re-checked: PASS. </w:t>
      </w:r>
      <w:r>
        <w:rPr>
          <w:rFonts w:ascii="Calibri" w:cs="Calibri" w:eastAsia="Calibri" w:hAnsi="Calibri"/>
          <w:color w:val="222222"/>
          <w:sz w:val="22"/>
          <w:szCs w:val="22"/>
        </w:rPr>
        <w:t xml:space="preserve">Ghar anchor present; recharge-shape clear; no drift.</w:t>
      </w:r>
    </w:p>
    <w:p>
      <w:pPr>
        <w:pStyle w:val="ListParagraph"/>
        <w:numPr>
          <w:ilvl w:val="0"/>
          <w:numId w:val="2"/>
        </w:numPr>
        <w:spacing w:after="60" w:before="60" w:line="320"/>
      </w:pPr>
      <w:r>
        <w:rPr>
          <w:rFonts w:ascii="Calibri" w:cs="Calibri" w:eastAsia="Calibri" w:hAnsi="Calibri"/>
          <w:b/>
          <w:bCs/>
          <w:color w:val="222222"/>
          <w:sz w:val="22"/>
          <w:szCs w:val="22"/>
        </w:rPr>
        <w:t xml:space="preserve">Gate 2 (contamination): PASS. </w:t>
      </w:r>
      <w:r>
        <w:rPr>
          <w:rFonts w:ascii="Calibri" w:cs="Calibri" w:eastAsia="Calibri" w:hAnsi="Calibri"/>
          <w:color w:val="222222"/>
          <w:sz w:val="22"/>
          <w:szCs w:val="22"/>
        </w:rPr>
        <w:t xml:space="preserve">WiFi appears as the user’s own intent, not Wiom’s identity. Clean bridge-capture.</w:t>
      </w:r>
    </w:p>
    <w:p>
      <w:pPr>
        <w:pStyle w:val="Heading2"/>
        <w:spacing w:after="140" w:before="280"/>
      </w:pPr>
      <w:r>
        <w:rPr>
          <w:rFonts w:ascii="Calibri" w:cs="Calibri" w:eastAsia="Calibri" w:hAnsi="Calibri"/>
          <w:b/>
          <w:bCs/>
          <w:color w:val="443152"/>
          <w:sz w:val="27"/>
          <w:szCs w:val="27"/>
        </w:rPr>
        <w:t xml:space="preserve">Layers 2–3 — Tags &amp; determined parameter</w:t>
      </w:r>
    </w:p>
    <w:p>
      <w:pPr>
        <w:pStyle w:val="ListParagraph"/>
        <w:numPr>
          <w:ilvl w:val="0"/>
          <w:numId w:val="2"/>
        </w:numPr>
        <w:spacing w:after="60" w:before="60" w:line="320"/>
      </w:pPr>
      <w:r>
        <w:rPr>
          <w:rFonts w:ascii="Calibri" w:cs="Calibri" w:eastAsia="Calibri" w:hAnsi="Calibri"/>
          <w:color w:val="222222"/>
          <w:sz w:val="22"/>
          <w:szCs w:val="22"/>
        </w:rPr>
        <w:t xml:space="preserve">Story structure: constraint-first. Protagonist: second-person narrator (“you”) — a candidate variant would test a vox-pop / local-mother version (more peer-proximate). Need-state: monthly-commitment rejection. Format: static or short motion. CTA: “Wiom try karo” — warm / top-of-activation.</w:t>
      </w:r>
    </w:p>
    <w:p>
      <w:pPr>
        <w:pStyle w:val="Heading2"/>
        <w:spacing w:after="140" w:before="280"/>
      </w:pPr>
      <w:r>
        <w:rPr>
          <w:rFonts w:ascii="Calibri" w:cs="Calibri" w:eastAsia="Calibri" w:hAnsi="Calibri"/>
          <w:b/>
          <w:bCs/>
          <w:color w:val="443152"/>
          <w:sz w:val="27"/>
          <w:szCs w:val="27"/>
        </w:rPr>
        <w:t xml:space="preserve">Layer 4 — Outcome (to be measured)</w:t>
      </w:r>
    </w:p>
    <w:p>
      <w:pPr>
        <w:spacing w:after="100" w:before="100" w:line="320"/>
      </w:pPr>
      <w:r>
        <w:rPr>
          <w:rFonts w:ascii="Calibri" w:cs="Calibri" w:eastAsia="Calibri" w:hAnsi="Calibri"/>
          <w:color w:val="222222"/>
          <w:sz w:val="22"/>
          <w:szCs w:val="22"/>
        </w:rPr>
        <w:t xml:space="preserve">Judged on first-recharge matched-cohort delta, with the comprehension proxy as the early read — not on CTR. If CTR is high but first-recharge lags the matched benchmark, the verdict is ITERATE (the WiFi hook attracts WiFi-shaped expectations the close is not correcting), not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EF2F7" w:sz="4"/>
              <w:left w:val="single" w:color="5A6B80" w:sz="24"/>
              <w:bottom w:val="single" w:color="EEF2F7" w:sz="4"/>
              <w:right w:val="single" w:color="EEF2F7" w:sz="4"/>
            </w:tcBorders>
            <w:shd w:fill="EEF2F7" w:val="clear"/>
            <w:tcMar>
              <w:top w:type="dxa" w:w="120"/>
              <w:left w:type="dxa" w:w="220"/>
              <w:bottom w:type="dxa" w:w="120"/>
              <w:right w:type="dxa" w:w="200"/>
            </w:tcMar>
          </w:tcPr>
          <w:p>
            <w:pPr>
              <w:spacing w:after="60" w:before="40"/>
            </w:pPr>
            <w:r>
              <w:rPr>
                <w:rFonts w:ascii="Calibri" w:cs="Calibri" w:eastAsia="Calibri" w:hAnsi="Calibri"/>
                <w:b/>
                <w:bCs/>
                <w:color w:val="5A6B80"/>
                <w:sz w:val="18"/>
                <w:szCs w:val="18"/>
              </w:rPr>
              <w:t xml:space="preserve">NOTE</w:t>
            </w:r>
          </w:p>
          <w:p>
            <w:pPr>
              <w:spacing w:after="40" w:before="40" w:line="300"/>
            </w:pPr>
            <w:r>
              <w:rPr>
                <w:rFonts w:ascii="Calibri" w:cs="Calibri" w:eastAsia="Calibri" w:hAnsi="Calibri"/>
                <w:color w:val="222222"/>
                <w:sz w:val="22"/>
                <w:szCs w:val="22"/>
              </w:rPr>
              <w:t xml:space="preserve">The framework’s value in one page: the gate caught a fluent, plausible ad before spend, named exactly why (missing ghar anchor), forced a four-word fix, and set the verdict to be decided by first-recharge — not by the CTR the original would likely have won on.</w:t>
            </w:r>
          </w:p>
        </w:tc>
      </w:tr>
    </w:tbl>
    <w:p>
      <w:pPr>
        <w:pStyle w:val="Heading1"/>
        <w:spacing w:after="200" w:before="360"/>
      </w:pPr>
      <w:r>
        <w:rPr>
          <w:rFonts w:ascii="Calibri" w:cs="Calibri" w:eastAsia="Calibri" w:hAnsi="Calibri"/>
          <w:b/>
          <w:bCs/>
          <w:color w:val="443152"/>
          <w:sz w:val="34"/>
          <w:szCs w:val="34"/>
        </w:rPr>
        <w:t xml:space="preserve">§11 — Open for v1.0</w:t>
      </w:r>
    </w:p>
    <w:p>
      <w:pPr>
        <w:spacing w:after="100" w:before="100" w:line="320"/>
      </w:pPr>
      <w:r>
        <w:rPr>
          <w:rFonts w:ascii="Calibri" w:cs="Calibri" w:eastAsia="Calibri" w:hAnsi="Calibri"/>
          <w:color w:val="222222"/>
          <w:sz w:val="22"/>
          <w:szCs w:val="22"/>
        </w:rPr>
        <w:t xml:space="preserve">This document is lockable now as a v0.9 operating doc — usable for real selection decisions today. Five items remain before it becomes v1.0 final doctrine. They are scaffolded above with starting shapes; each needs an operational, product, or statistical input this document cannot responsibly invent. Until they close, decisions made under this framework are directional and human-reviewed rather than automated.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
        <w:gridCol w:w="4400"/>
        <w:gridCol w:w="2400"/>
        <w:gridCol w:w="2110"/>
      </w:tblGrid>
      <w:tr>
        <w:trPr>
          <w:tblHeader/>
        </w:trPr>
        <w:tc>
          <w:tcPr>
            <w:tcW w:type="dxa" w:w="450"/>
            <w:tcBorders>
              <w:top w:val="single" w:color="D0D7DE" w:sz="4"/>
              <w:left w:val="single" w:color="D0D7DE" w:sz="4"/>
              <w:bottom w:val="single" w:color="D0D7DE" w:sz="4"/>
              <w:right w:val="single" w:color="D0D7DE" w:sz="4"/>
            </w:tcBorders>
            <w:shd w:fill="443152" w:val="clear"/>
            <w:tcMar>
              <w:top w:type="dxa" w:w="100"/>
              <w:left w:type="dxa" w:w="140"/>
              <w:bottom w:type="dxa" w:w="100"/>
              <w:right w:type="dxa" w:w="140"/>
            </w:tcMar>
          </w:tcPr>
          <w:p>
            <w:r>
              <w:rPr>
                <w:rFonts w:ascii="Calibri" w:cs="Calibri" w:eastAsia="Calibri" w:hAnsi="Calibri"/>
                <w:b/>
                <w:bCs/>
                <w:color w:val="FFFFFF"/>
                <w:sz w:val="20"/>
                <w:szCs w:val="20"/>
              </w:rPr>
              <w:t xml:space="preserve">#</w:t>
            </w:r>
          </w:p>
        </w:tc>
        <w:tc>
          <w:tcPr>
            <w:tcW w:type="dxa" w:w="4400"/>
            <w:tcBorders>
              <w:top w:val="single" w:color="D0D7DE" w:sz="4"/>
              <w:left w:val="single" w:color="D0D7DE" w:sz="4"/>
              <w:bottom w:val="single" w:color="D0D7DE" w:sz="4"/>
              <w:right w:val="single" w:color="D0D7DE" w:sz="4"/>
            </w:tcBorders>
            <w:shd w:fill="443152" w:val="clear"/>
            <w:tcMar>
              <w:top w:type="dxa" w:w="100"/>
              <w:left w:type="dxa" w:w="140"/>
              <w:bottom w:type="dxa" w:w="100"/>
              <w:right w:type="dxa" w:w="140"/>
            </w:tcMar>
          </w:tcPr>
          <w:p>
            <w:r>
              <w:rPr>
                <w:rFonts w:ascii="Calibri" w:cs="Calibri" w:eastAsia="Calibri" w:hAnsi="Calibri"/>
                <w:b/>
                <w:bCs/>
                <w:color w:val="FFFFFF"/>
                <w:sz w:val="20"/>
                <w:szCs w:val="20"/>
              </w:rPr>
              <w:t xml:space="preserve">Open item</w:t>
            </w:r>
          </w:p>
        </w:tc>
        <w:tc>
          <w:tcPr>
            <w:tcW w:type="dxa" w:w="2400"/>
            <w:tcBorders>
              <w:top w:val="single" w:color="D0D7DE" w:sz="4"/>
              <w:left w:val="single" w:color="D0D7DE" w:sz="4"/>
              <w:bottom w:val="single" w:color="D0D7DE" w:sz="4"/>
              <w:right w:val="single" w:color="D0D7DE" w:sz="4"/>
            </w:tcBorders>
            <w:shd w:fill="443152" w:val="clear"/>
            <w:tcMar>
              <w:top w:type="dxa" w:w="100"/>
              <w:left w:type="dxa" w:w="140"/>
              <w:bottom w:type="dxa" w:w="100"/>
              <w:right w:type="dxa" w:w="140"/>
            </w:tcMar>
          </w:tcPr>
          <w:p>
            <w:r>
              <w:rPr>
                <w:rFonts w:ascii="Calibri" w:cs="Calibri" w:eastAsia="Calibri" w:hAnsi="Calibri"/>
                <w:b/>
                <w:bCs/>
                <w:color w:val="FFFFFF"/>
                <w:sz w:val="20"/>
                <w:szCs w:val="20"/>
              </w:rPr>
              <w:t xml:space="preserve">Owner</w:t>
            </w:r>
          </w:p>
        </w:tc>
        <w:tc>
          <w:tcPr>
            <w:tcW w:type="dxa" w:w="2110"/>
            <w:tcBorders>
              <w:top w:val="single" w:color="D0D7DE" w:sz="4"/>
              <w:left w:val="single" w:color="D0D7DE" w:sz="4"/>
              <w:bottom w:val="single" w:color="D0D7DE" w:sz="4"/>
              <w:right w:val="single" w:color="D0D7DE" w:sz="4"/>
            </w:tcBorders>
            <w:shd w:fill="443152" w:val="clear"/>
            <w:tcMar>
              <w:top w:type="dxa" w:w="100"/>
              <w:left w:type="dxa" w:w="140"/>
              <w:bottom w:type="dxa" w:w="100"/>
              <w:right w:type="dxa" w:w="140"/>
            </w:tcMar>
          </w:tcPr>
          <w:p>
            <w:r>
              <w:rPr>
                <w:rFonts w:ascii="Calibri" w:cs="Calibri" w:eastAsia="Calibri" w:hAnsi="Calibri"/>
                <w:b/>
                <w:bCs/>
                <w:color w:val="FFFFFF"/>
                <w:sz w:val="20"/>
                <w:szCs w:val="20"/>
              </w:rPr>
              <w:t xml:space="preserve">Closed when</w:t>
            </w:r>
          </w:p>
        </w:tc>
      </w:tr>
      <w:tr>
        <w:tc>
          <w:tcPr>
            <w:tcW w:type="dxa" w:w="450"/>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r>
              <w:rPr>
                <w:rFonts w:ascii="Calibri" w:cs="Calibri" w:eastAsia="Calibri" w:hAnsi="Calibri"/>
                <w:color w:val="222222"/>
                <w:sz w:val="20"/>
                <w:szCs w:val="20"/>
              </w:rPr>
              <w:t xml:space="preserve">1</w:t>
            </w:r>
          </w:p>
        </w:tc>
        <w:tc>
          <w:tcPr>
            <w:tcW w:type="dxa" w:w="4400"/>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r>
              <w:rPr>
                <w:rFonts w:ascii="Calibri" w:cs="Calibri" w:eastAsia="Calibri" w:hAnsi="Calibri"/>
                <w:color w:val="222222"/>
                <w:sz w:val="20"/>
                <w:szCs w:val="20"/>
              </w:rPr>
              <w:t xml:space="preserve">Matched-cohort definition — operational tolerances (date overlap, zone-cluster equivalence, capacity-state match)</w:t>
            </w:r>
          </w:p>
        </w:tc>
        <w:tc>
          <w:tcPr>
            <w:tcW w:type="dxa" w:w="2400"/>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r>
              <w:rPr>
                <w:rFonts w:ascii="Calibri" w:cs="Calibri" w:eastAsia="Calibri" w:hAnsi="Calibri"/>
                <w:color w:val="222222"/>
                <w:sz w:val="20"/>
                <w:szCs w:val="20"/>
              </w:rPr>
              <w:t xml:space="preserve">Guneet + data lead</w:t>
            </w:r>
          </w:p>
        </w:tc>
        <w:tc>
          <w:tcPr>
            <w:tcW w:type="dxa" w:w="2110"/>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r>
              <w:rPr>
                <w:rFonts w:ascii="Calibri" w:cs="Calibri" w:eastAsia="Calibri" w:hAnsi="Calibri"/>
                <w:color w:val="222222"/>
                <w:sz w:val="20"/>
                <w:szCs w:val="20"/>
              </w:rPr>
              <w:t xml:space="preserve">A written rule two analysts apply to the same comparison and agree.</w:t>
            </w:r>
          </w:p>
        </w:tc>
      </w:tr>
      <w:tr>
        <w:tc>
          <w:tcPr>
            <w:tcW w:type="dxa" w:w="450"/>
            <w:tcBorders>
              <w:top w:val="single" w:color="D0D7DE" w:sz="4"/>
              <w:left w:val="single" w:color="D0D7DE" w:sz="4"/>
              <w:bottom w:val="single" w:color="D0D7DE" w:sz="4"/>
              <w:right w:val="single" w:color="D0D7DE" w:sz="4"/>
            </w:tcBorders>
            <w:shd w:fill="FAFBFD" w:val="clear"/>
            <w:tcMar>
              <w:top w:type="dxa" w:w="90"/>
              <w:left w:type="dxa" w:w="140"/>
              <w:bottom w:type="dxa" w:w="90"/>
              <w:right w:type="dxa" w:w="140"/>
            </w:tcMar>
          </w:tcPr>
          <w:p>
            <w:r>
              <w:rPr>
                <w:rFonts w:ascii="Calibri" w:cs="Calibri" w:eastAsia="Calibri" w:hAnsi="Calibri"/>
                <w:color w:val="222222"/>
                <w:sz w:val="20"/>
                <w:szCs w:val="20"/>
              </w:rPr>
              <w:t xml:space="preserve">2</w:t>
            </w:r>
          </w:p>
        </w:tc>
        <w:tc>
          <w:tcPr>
            <w:tcW w:type="dxa" w:w="4400"/>
            <w:tcBorders>
              <w:top w:val="single" w:color="D0D7DE" w:sz="4"/>
              <w:left w:val="single" w:color="D0D7DE" w:sz="4"/>
              <w:bottom w:val="single" w:color="D0D7DE" w:sz="4"/>
              <w:right w:val="single" w:color="D0D7DE" w:sz="4"/>
            </w:tcBorders>
            <w:shd w:fill="FAFBFD" w:val="clear"/>
            <w:tcMar>
              <w:top w:type="dxa" w:w="90"/>
              <w:left w:type="dxa" w:w="140"/>
              <w:bottom w:type="dxa" w:w="90"/>
              <w:right w:type="dxa" w:w="140"/>
            </w:tcMar>
          </w:tcPr>
          <w:p>
            <w:r>
              <w:rPr>
                <w:rFonts w:ascii="Calibri" w:cs="Calibri" w:eastAsia="Calibri" w:hAnsi="Calibri"/>
                <w:color w:val="222222"/>
                <w:sz w:val="20"/>
                <w:szCs w:val="20"/>
              </w:rPr>
              <w:t xml:space="preserve">Comprehension proxy — select and instrument 2–3 concrete signals</w:t>
            </w:r>
          </w:p>
        </w:tc>
        <w:tc>
          <w:tcPr>
            <w:tcW w:type="dxa" w:w="2400"/>
            <w:tcBorders>
              <w:top w:val="single" w:color="D0D7DE" w:sz="4"/>
              <w:left w:val="single" w:color="D0D7DE" w:sz="4"/>
              <w:bottom w:val="single" w:color="D0D7DE" w:sz="4"/>
              <w:right w:val="single" w:color="D0D7DE" w:sz="4"/>
            </w:tcBorders>
            <w:shd w:fill="FAFBFD" w:val="clear"/>
            <w:tcMar>
              <w:top w:type="dxa" w:w="90"/>
              <w:left w:type="dxa" w:w="140"/>
              <w:bottom w:type="dxa" w:w="90"/>
              <w:right w:type="dxa" w:w="140"/>
            </w:tcMar>
          </w:tcPr>
          <w:p>
            <w:r>
              <w:rPr>
                <w:rFonts w:ascii="Calibri" w:cs="Calibri" w:eastAsia="Calibri" w:hAnsi="Calibri"/>
                <w:color w:val="222222"/>
                <w:sz w:val="20"/>
                <w:szCs w:val="20"/>
              </w:rPr>
              <w:t xml:space="preserve">Guneet + product/data</w:t>
            </w:r>
          </w:p>
        </w:tc>
        <w:tc>
          <w:tcPr>
            <w:tcW w:type="dxa" w:w="2110"/>
            <w:tcBorders>
              <w:top w:val="single" w:color="D0D7DE" w:sz="4"/>
              <w:left w:val="single" w:color="D0D7DE" w:sz="4"/>
              <w:bottom w:val="single" w:color="D0D7DE" w:sz="4"/>
              <w:right w:val="single" w:color="D0D7DE" w:sz="4"/>
            </w:tcBorders>
            <w:shd w:fill="FAFBFD" w:val="clear"/>
            <w:tcMar>
              <w:top w:type="dxa" w:w="90"/>
              <w:left w:type="dxa" w:w="140"/>
              <w:bottom w:type="dxa" w:w="90"/>
              <w:right w:type="dxa" w:w="140"/>
            </w:tcMar>
          </w:tcPr>
          <w:p>
            <w:r>
              <w:rPr>
                <w:rFonts w:ascii="Calibri" w:cs="Calibri" w:eastAsia="Calibri" w:hAnsi="Calibri"/>
                <w:color w:val="222222"/>
                <w:sz w:val="20"/>
                <w:szCs w:val="20"/>
              </w:rPr>
              <w:t xml:space="preserve">Signals live in the booking flow and reportable per cohort.</w:t>
            </w:r>
          </w:p>
        </w:tc>
      </w:tr>
      <w:tr>
        <w:tc>
          <w:tcPr>
            <w:tcW w:type="dxa" w:w="450"/>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r>
              <w:rPr>
                <w:rFonts w:ascii="Calibri" w:cs="Calibri" w:eastAsia="Calibri" w:hAnsi="Calibri"/>
                <w:color w:val="222222"/>
                <w:sz w:val="20"/>
                <w:szCs w:val="20"/>
              </w:rPr>
              <w:t xml:space="preserve">3</w:t>
            </w:r>
          </w:p>
        </w:tc>
        <w:tc>
          <w:tcPr>
            <w:tcW w:type="dxa" w:w="4400"/>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r>
              <w:rPr>
                <w:rFonts w:ascii="Calibri" w:cs="Calibri" w:eastAsia="Calibri" w:hAnsi="Calibri"/>
                <w:color w:val="222222"/>
                <w:sz w:val="20"/>
                <w:szCs w:val="20"/>
              </w:rPr>
              <w:t xml:space="preserve">Install / service exclusion — set the SLA-breach threshold</w:t>
            </w:r>
          </w:p>
        </w:tc>
        <w:tc>
          <w:tcPr>
            <w:tcW w:type="dxa" w:w="2400"/>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r>
              <w:rPr>
                <w:rFonts w:ascii="Calibri" w:cs="Calibri" w:eastAsia="Calibri" w:hAnsi="Calibri"/>
                <w:color w:val="222222"/>
                <w:sz w:val="20"/>
                <w:szCs w:val="20"/>
              </w:rPr>
              <w:t xml:space="preserve">Guneet + ops</w:t>
            </w:r>
          </w:p>
        </w:tc>
        <w:tc>
          <w:tcPr>
            <w:tcW w:type="dxa" w:w="2110"/>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r>
              <w:rPr>
                <w:rFonts w:ascii="Calibri" w:cs="Calibri" w:eastAsia="Calibri" w:hAnsi="Calibri"/>
                <w:color w:val="222222"/>
                <w:sz w:val="20"/>
                <w:szCs w:val="20"/>
              </w:rPr>
              <w:t xml:space="preserve">Threshold defined and wired into cohort comparison.</w:t>
            </w:r>
          </w:p>
        </w:tc>
      </w:tr>
      <w:tr>
        <w:tc>
          <w:tcPr>
            <w:tcW w:type="dxa" w:w="450"/>
            <w:tcBorders>
              <w:top w:val="single" w:color="D0D7DE" w:sz="4"/>
              <w:left w:val="single" w:color="D0D7DE" w:sz="4"/>
              <w:bottom w:val="single" w:color="D0D7DE" w:sz="4"/>
              <w:right w:val="single" w:color="D0D7DE" w:sz="4"/>
            </w:tcBorders>
            <w:shd w:fill="FAFBFD" w:val="clear"/>
            <w:tcMar>
              <w:top w:type="dxa" w:w="90"/>
              <w:left w:type="dxa" w:w="140"/>
              <w:bottom w:type="dxa" w:w="90"/>
              <w:right w:type="dxa" w:w="140"/>
            </w:tcMar>
          </w:tcPr>
          <w:p>
            <w:r>
              <w:rPr>
                <w:rFonts w:ascii="Calibri" w:cs="Calibri" w:eastAsia="Calibri" w:hAnsi="Calibri"/>
                <w:color w:val="222222"/>
                <w:sz w:val="20"/>
                <w:szCs w:val="20"/>
              </w:rPr>
              <w:t xml:space="preserve">4</w:t>
            </w:r>
          </w:p>
        </w:tc>
        <w:tc>
          <w:tcPr>
            <w:tcW w:type="dxa" w:w="4400"/>
            <w:tcBorders>
              <w:top w:val="single" w:color="D0D7DE" w:sz="4"/>
              <w:left w:val="single" w:color="D0D7DE" w:sz="4"/>
              <w:bottom w:val="single" w:color="D0D7DE" w:sz="4"/>
              <w:right w:val="single" w:color="D0D7DE" w:sz="4"/>
            </w:tcBorders>
            <w:shd w:fill="FAFBFD" w:val="clear"/>
            <w:tcMar>
              <w:top w:type="dxa" w:w="90"/>
              <w:left w:type="dxa" w:w="140"/>
              <w:bottom w:type="dxa" w:w="90"/>
              <w:right w:type="dxa" w:w="140"/>
            </w:tcMar>
          </w:tcPr>
          <w:p>
            <w:r>
              <w:rPr>
                <w:rFonts w:ascii="Calibri" w:cs="Calibri" w:eastAsia="Calibri" w:hAnsi="Calibri"/>
                <w:color w:val="222222"/>
                <w:sz w:val="20"/>
                <w:szCs w:val="20"/>
              </w:rPr>
              <w:t xml:space="preserve">TOF → activation handoff contract — audience pools, anchors taught, cohort tags, learning notes</w:t>
            </w:r>
          </w:p>
        </w:tc>
        <w:tc>
          <w:tcPr>
            <w:tcW w:type="dxa" w:w="2400"/>
            <w:tcBorders>
              <w:top w:val="single" w:color="D0D7DE" w:sz="4"/>
              <w:left w:val="single" w:color="D0D7DE" w:sz="4"/>
              <w:bottom w:val="single" w:color="D0D7DE" w:sz="4"/>
              <w:right w:val="single" w:color="D0D7DE" w:sz="4"/>
            </w:tcBorders>
            <w:shd w:fill="FAFBFD" w:val="clear"/>
            <w:tcMar>
              <w:top w:type="dxa" w:w="90"/>
              <w:left w:type="dxa" w:w="140"/>
              <w:bottom w:type="dxa" w:w="90"/>
              <w:right w:type="dxa" w:w="140"/>
            </w:tcMar>
          </w:tcPr>
          <w:p>
            <w:r>
              <w:rPr>
                <w:rFonts w:ascii="Calibri" w:cs="Calibri" w:eastAsia="Calibri" w:hAnsi="Calibri"/>
                <w:color w:val="222222"/>
                <w:sz w:val="20"/>
                <w:szCs w:val="20"/>
              </w:rPr>
              <w:t xml:space="preserve">Upper-funnel owner + Guneet</w:t>
            </w:r>
          </w:p>
        </w:tc>
        <w:tc>
          <w:tcPr>
            <w:tcW w:type="dxa" w:w="2110"/>
            <w:tcBorders>
              <w:top w:val="single" w:color="D0D7DE" w:sz="4"/>
              <w:left w:val="single" w:color="D0D7DE" w:sz="4"/>
              <w:bottom w:val="single" w:color="D0D7DE" w:sz="4"/>
              <w:right w:val="single" w:color="D0D7DE" w:sz="4"/>
            </w:tcBorders>
            <w:shd w:fill="FAFBFD" w:val="clear"/>
            <w:tcMar>
              <w:top w:type="dxa" w:w="90"/>
              <w:left w:type="dxa" w:w="140"/>
              <w:bottom w:type="dxa" w:w="90"/>
              <w:right w:type="dxa" w:w="140"/>
            </w:tcMar>
          </w:tcPr>
          <w:p>
            <w:r>
              <w:rPr>
                <w:rFonts w:ascii="Calibri" w:cs="Calibri" w:eastAsia="Calibri" w:hAnsi="Calibri"/>
                <w:color w:val="222222"/>
                <w:sz w:val="20"/>
                <w:szCs w:val="20"/>
              </w:rPr>
              <w:t xml:space="preserve">A handoff contract exists as a SEPARATE artifact (not in this doc).</w:t>
            </w:r>
          </w:p>
        </w:tc>
      </w:tr>
      <w:tr>
        <w:tc>
          <w:tcPr>
            <w:tcW w:type="dxa" w:w="450"/>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r>
              <w:rPr>
                <w:rFonts w:ascii="Calibri" w:cs="Calibri" w:eastAsia="Calibri" w:hAnsi="Calibri"/>
                <w:color w:val="222222"/>
                <w:sz w:val="20"/>
                <w:szCs w:val="20"/>
              </w:rPr>
              <w:t xml:space="preserve">5</w:t>
            </w:r>
          </w:p>
        </w:tc>
        <w:tc>
          <w:tcPr>
            <w:tcW w:type="dxa" w:w="4400"/>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r>
              <w:rPr>
                <w:rFonts w:ascii="Calibri" w:cs="Calibri" w:eastAsia="Calibri" w:hAnsi="Calibri"/>
                <w:color w:val="222222"/>
                <w:sz w:val="20"/>
                <w:szCs w:val="20"/>
              </w:rPr>
              <w:t xml:space="preserve">Numeric kill / iterate / scale thresholds — derived from volume’s minimum detectable effect</w:t>
            </w:r>
          </w:p>
        </w:tc>
        <w:tc>
          <w:tcPr>
            <w:tcW w:type="dxa" w:w="2400"/>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r>
              <w:rPr>
                <w:rFonts w:ascii="Calibri" w:cs="Calibri" w:eastAsia="Calibri" w:hAnsi="Calibri"/>
                <w:color w:val="222222"/>
                <w:sz w:val="20"/>
                <w:szCs w:val="20"/>
              </w:rPr>
              <w:t xml:space="preserve">Guneet + data lead</w:t>
            </w:r>
          </w:p>
        </w:tc>
        <w:tc>
          <w:tcPr>
            <w:tcW w:type="dxa" w:w="2110"/>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r>
              <w:rPr>
                <w:rFonts w:ascii="Calibri" w:cs="Calibri" w:eastAsia="Calibri" w:hAnsi="Calibri"/>
                <w:color w:val="222222"/>
                <w:sz w:val="20"/>
                <w:szCs w:val="20"/>
              </w:rPr>
              <w:t xml:space="preserve">Thresholds set against statistical power, not picked arbitrarily.</w:t>
            </w:r>
          </w:p>
        </w:tc>
      </w:tr>
    </w:tbl>
    <w:p>
      <w:pPr>
        <w:spacing w:before="120"/>
      </w:pPr>
      <w:r>
        <w:rPr>
          <w:rFonts w:ascii="Calibri" w:cs="Calibri" w:eastAsia="Calibri" w:hAnsi="Calibri"/>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EF2F7" w:sz="4"/>
              <w:left w:val="single" w:color="5A6B80" w:sz="24"/>
              <w:bottom w:val="single" w:color="EEF2F7" w:sz="4"/>
              <w:right w:val="single" w:color="EEF2F7" w:sz="4"/>
            </w:tcBorders>
            <w:shd w:fill="EEF2F7" w:val="clear"/>
            <w:tcMar>
              <w:top w:type="dxa" w:w="120"/>
              <w:left w:type="dxa" w:w="220"/>
              <w:bottom w:type="dxa" w:w="120"/>
              <w:right w:type="dxa" w:w="200"/>
            </w:tcMar>
          </w:tcPr>
          <w:p>
            <w:pPr>
              <w:spacing w:after="60" w:before="40"/>
            </w:pPr>
            <w:r>
              <w:rPr>
                <w:rFonts w:ascii="Calibri" w:cs="Calibri" w:eastAsia="Calibri" w:hAnsi="Calibri"/>
                <w:b/>
                <w:bCs/>
                <w:color w:val="5A6B80"/>
                <w:sz w:val="18"/>
                <w:szCs w:val="18"/>
              </w:rPr>
              <w:t xml:space="preserve">NOTE</w:t>
            </w:r>
          </w:p>
          <w:p>
            <w:pPr>
              <w:spacing w:after="40" w:before="40" w:line="300"/>
            </w:pPr>
            <w:r>
              <w:rPr>
                <w:rFonts w:ascii="Calibri" w:cs="Calibri" w:eastAsia="Calibri" w:hAnsi="Calibri"/>
                <w:color w:val="222222"/>
                <w:sz w:val="22"/>
                <w:szCs w:val="22"/>
              </w:rPr>
              <w:t xml:space="preserve">Item 4 deliberately lives outside this document. The TOF → activation handoff is a coordination contract between the upper-funnel function and Guneet; embedding it here would pull top-of-funnel back into the activation team’s focus, which the scope discipline exists to prevent. It is named here only so the dependency is visible and owned.</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DE" w:sz="4" w:space="8"/>
      </w:pBdr>
      <w:jc w:val="center"/>
    </w:pPr>
    <w:r>
      <w:rPr>
        <w:rFonts w:ascii="Calibri" w:cs="Calibri" w:eastAsia="Calibri" w:hAnsi="Calibri"/>
        <w:color w:val="5A6B80"/>
        <w:sz w:val="18"/>
        <w:szCs w:val="18"/>
      </w:rPr>
      <w:t xml:space="preserve">Wiom · Performance Creative Framework · v0.9 · </w:t>
    </w:r>
    <w:r>
      <w:rPr>
        <w:rFonts w:ascii="Calibri" w:cs="Calibri" w:eastAsia="Calibri" w:hAnsi="Calibri"/>
        <w:color w:val="5A6B80"/>
        <w:sz w:val="18"/>
        <w:szCs w:val="18"/>
      </w:rPr>
      <w:t xml:space="preserve">Page </w:t>
    </w:r>
    <w:r>
      <w:rPr>
        <w:rFonts w:ascii="Calibri" w:cs="Calibri" w:eastAsia="Calibri" w:hAnsi="Calibri"/>
        <w:color w:val="5A6B80"/>
        <w:sz w:val="18"/>
        <w:szCs w:val="18"/>
      </w:rPr>
      <w:fldChar w:fldCharType="begin"/>
      <w:instrText xml:space="preserve">PAGE</w:instrText>
      <w:fldChar w:fldCharType="separate"/>
      <w:fldChar w:fldCharType="end"/>
    </w:r>
    <w:r>
      <w:rPr>
        <w:rFonts w:ascii="Calibri" w:cs="Calibri" w:eastAsia="Calibri" w:hAnsi="Calibri"/>
        <w:color w:val="5A6B80"/>
        <w:sz w:val="18"/>
        <w:szCs w:val="18"/>
      </w:rPr>
      <w:t xml:space="preserve"> of </w:t>
    </w:r>
    <w:r>
      <w:rPr>
        <w:rFonts w:ascii="Calibri" w:cs="Calibri" w:eastAsia="Calibri" w:hAnsi="Calibri"/>
        <w:color w:val="5A6B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abstractNum w:abstractNumId="4" w15:restartNumberingAfterBreak="0">
    <w:multiLevelType w:val="hybridMultilevel"/>
    <w:lvl w:ilvl="0" w15:tentative="1">
      <w:start w:val="1"/>
      <w:numFmt w:val="decimal"/>
      <w:lvlText w:val="%1."/>
      <w:lvlJc w:val="left"/>
      <w:pPr>
        <w:ind w:left="540" w:hanging="280"/>
      </w:pPr>
    </w:lvl>
  </w:abstractNum>
  <w:abstractNum w:abstractNumId="5" w15:restartNumberingAfterBreak="0">
    <w:multiLevelType w:val="hybridMultilevel"/>
    <w:lvl w:ilvl="0" w15:tentative="1">
      <w:start w:val="1"/>
      <w:numFmt w:val="decimal"/>
      <w:lvlText w:val="%1."/>
      <w:lvlJc w:val="left"/>
      <w:pPr>
        <w:ind w:left="540" w:hanging="280"/>
      </w:pPr>
    </w:lvl>
  </w:abstractNum>
  <w:abstractNum w:abstractNumId="6" w15:restartNumberingAfterBreak="0">
    <w:multiLevelType w:val="hybridMultilevel"/>
    <w:lvl w:ilvl="0" w15:tentative="1">
      <w:start w:val="1"/>
      <w:numFmt w:val="decimal"/>
      <w:lvlText w:val="%1."/>
      <w:lvlJc w:val="left"/>
      <w:pPr>
        <w:ind w:left="540" w:hanging="280"/>
      </w:pPr>
    </w:lvl>
  </w:abstractNum>
  <w:abstractNum w:abstractNumId="7" w15:restartNumberingAfterBreak="0">
    <w:multiLevelType w:val="hybridMultilevel"/>
    <w:lvl w:ilvl="0" w15:tentative="1">
      <w:start w:val="1"/>
      <w:numFmt w:val="decimal"/>
      <w:lvlText w:val="%1."/>
      <w:lvlJc w:val="left"/>
      <w:pPr>
        <w:ind w:left="540" w:hanging="280"/>
      </w:pPr>
    </w:lvl>
  </w:abstractNum>
  <w:abstractNum w:abstractNumId="8" w15:restartNumberingAfterBreak="0">
    <w:multiLevelType w:val="hybridMultilevel"/>
    <w:lvl w:ilvl="0" w15:tentative="1">
      <w:start w:val="1"/>
      <w:numFmt w:val="decimal"/>
      <w:lvlText w:val="%1."/>
      <w:lvlJc w:val="left"/>
      <w:pPr>
        <w:ind w:left="540" w:hanging="280"/>
      </w:pPr>
    </w:lvl>
  </w:abstractNum>
  <w:abstractNum w:abstractNumId="9" w15:restartNumberingAfterBreak="0">
    <w:multiLevelType w:val="hybridMultilevel"/>
    <w:lvl w:ilvl="0" w15:tentative="1">
      <w:start w:val="1"/>
      <w:numFmt w:val="decimal"/>
      <w:lvlText w:val="%1."/>
      <w:lvlJc w:val="left"/>
      <w:pPr>
        <w:ind w:left="540" w:hanging="280"/>
      </w:pPr>
    </w:lvl>
  </w:abstractNum>
  <w:abstractNum w:abstractNumId="10" w15:restartNumberingAfterBreak="0">
    <w:multiLevelType w:val="hybridMultilevel"/>
    <w:lvl w:ilvl="0" w15:tentative="1">
      <w:start w:val="1"/>
      <w:numFmt w:val="decimal"/>
      <w:lvlText w:val="%1."/>
      <w:lvlJc w:val="left"/>
      <w:pPr>
        <w:ind w:left="540" w:hanging="280"/>
      </w:pPr>
    </w:lvl>
  </w:abstractNum>
  <w:abstractNum w:abstractNumId="11" w15:restartNumberingAfterBreak="0">
    <w:multiLevelType w:val="hybridMultilevel"/>
    <w:lvl w:ilvl="0" w15:tentative="1">
      <w:start w:val="1"/>
      <w:numFmt w:val="decimal"/>
      <w:lvlText w:val="%1."/>
      <w:lvlJc w:val="left"/>
      <w:pPr>
        <w:ind w:left="540" w:hanging="280"/>
      </w:pPr>
    </w:lvl>
  </w:abstractNum>
  <w:abstractNum w:abstractNumId="12" w15:restartNumberingAfterBreak="0">
    <w:multiLevelType w:val="hybridMultilevel"/>
    <w:lvl w:ilvl="0" w15:tentative="1">
      <w:start w:val="1"/>
      <w:numFmt w:val="decimal"/>
      <w:lvlText w:val="%1."/>
      <w:lvlJc w:val="left"/>
      <w:pPr>
        <w:ind w:left="540" w:hanging="280"/>
      </w:pPr>
    </w:lvl>
  </w:abstractNum>
  <w:abstractNum w:abstractNumId="13" w15:restartNumberingAfterBreak="0">
    <w:multiLevelType w:val="hybridMultilevel"/>
    <w:lvl w:ilvl="0" w15:tentative="1">
      <w:start w:val="1"/>
      <w:numFmt w:val="decimal"/>
      <w:lvlText w:val="%1."/>
      <w:lvlJc w:val="left"/>
      <w:pPr>
        <w:ind w:left="540" w:hanging="280"/>
      </w:pPr>
    </w:lvl>
  </w:abstractNum>
  <w:abstractNum w:abstractNumId="14" w15:restartNumberingAfterBreak="0">
    <w:multiLevelType w:val="hybridMultilevel"/>
    <w:lvl w:ilvl="0" w15:tentative="1">
      <w:start w:val="1"/>
      <w:numFmt w:val="decimal"/>
      <w:lvlText w:val="%1."/>
      <w:lvlJc w:val="left"/>
      <w:pPr>
        <w:ind w:left="540" w:hanging="280"/>
      </w:pPr>
    </w:lvl>
  </w:abstractNum>
  <w:abstractNum w:abstractNumId="15" w15:restartNumberingAfterBreak="0">
    <w:multiLevelType w:val="hybridMultilevel"/>
    <w:lvl w:ilvl="0" w15:tentative="1">
      <w:start w:val="1"/>
      <w:numFmt w:val="decimal"/>
      <w:lvlText w:val="%1."/>
      <w:lvlJc w:val="left"/>
      <w:pPr>
        <w:ind w:left="540" w:hanging="280"/>
      </w:pPr>
    </w:lvl>
  </w:abstractNum>
  <w:abstractNum w:abstractNumId="16" w15:restartNumberingAfterBreak="0">
    <w:multiLevelType w:val="hybridMultilevel"/>
    <w:lvl w:ilvl="0" w15:tentative="1">
      <w:start w:val="1"/>
      <w:numFmt w:val="decimal"/>
      <w:lvlText w:val="%1."/>
      <w:lvlJc w:val="left"/>
      <w:pPr>
        <w:ind w:left="540" w:hanging="280"/>
      </w:pPr>
    </w:lvl>
  </w:abstractNum>
  <w:abstractNum w:abstractNumId="17" w15:restartNumberingAfterBreak="0">
    <w:multiLevelType w:val="hybridMultilevel"/>
    <w:lvl w:ilvl="0" w15:tentative="1">
      <w:start w:val="1"/>
      <w:numFmt w:val="decimal"/>
      <w:lvlText w:val="%1."/>
      <w:lvlJc w:val="left"/>
      <w:pPr>
        <w:ind w:left="540" w:hanging="280"/>
      </w:pPr>
    </w:lvl>
  </w:abstractNum>
  <w:abstractNum w:abstractNumId="18" w15:restartNumberingAfterBreak="0">
    <w:multiLevelType w:val="hybridMultilevel"/>
    <w:lvl w:ilvl="0" w15:tentative="1">
      <w:start w:val="1"/>
      <w:numFmt w:val="decimal"/>
      <w:lvlText w:val="%1."/>
      <w:lvlJc w:val="left"/>
      <w:pPr>
        <w:ind w:left="540" w:hanging="280"/>
      </w:pPr>
    </w:lvl>
  </w:abstractNum>
  <w:abstractNum w:abstractNumId="19" w15:restartNumberingAfterBreak="0">
    <w:multiLevelType w:val="hybridMultilevel"/>
    <w:lvl w:ilvl="0" w15:tentative="1">
      <w:start w:val="1"/>
      <w:numFmt w:val="decimal"/>
      <w:lvlText w:val="%1."/>
      <w:lvlJc w:val="left"/>
      <w:pPr>
        <w:ind w:left="540" w:hanging="280"/>
      </w:pPr>
    </w:lvl>
  </w:abstractNum>
  <w:abstractNum w:abstractNumId="20" w15:restartNumberingAfterBreak="0">
    <w:multiLevelType w:val="hybridMultilevel"/>
    <w:lvl w:ilvl="0" w15:tentative="1">
      <w:start w:val="1"/>
      <w:numFmt w:val="decimal"/>
      <w:lvlText w:val="%1."/>
      <w:lvlJc w:val="left"/>
      <w:pPr>
        <w:ind w:left="540" w:hanging="280"/>
      </w:pPr>
    </w:lvl>
  </w:abstractNum>
  <w:abstractNum w:abstractNumId="21" w15:restartNumberingAfterBreak="0">
    <w:multiLevelType w:val="hybridMultilevel"/>
    <w:lvl w:ilvl="0" w15:tentative="1">
      <w:start w:val="1"/>
      <w:numFmt w:val="decimal"/>
      <w:lvlText w:val="%1."/>
      <w:lvlJc w:val="left"/>
      <w:pPr>
        <w:ind w:left="540" w:hanging="280"/>
      </w:pPr>
    </w:lvl>
  </w:abstractNum>
  <w:abstractNum w:abstractNumId="22" w15:restartNumberingAfterBreak="0">
    <w:multiLevelType w:val="hybridMultilevel"/>
    <w:lvl w:ilvl="0" w15:tentative="1">
      <w:start w:val="1"/>
      <w:numFmt w:val="decimal"/>
      <w:lvlText w:val="%1."/>
      <w:lvlJc w:val="left"/>
      <w:pPr>
        <w:ind w:left="540" w:hanging="280"/>
      </w:pPr>
    </w:lvl>
  </w:abstractNum>
  <w:abstractNum w:abstractNumId="23" w15:restartNumberingAfterBreak="0">
    <w:multiLevelType w:val="hybridMultilevel"/>
    <w:lvl w:ilvl="0" w15:tentative="1">
      <w:start w:val="1"/>
      <w:numFmt w:val="decimal"/>
      <w:lvlText w:val="%1."/>
      <w:lvlJc w:val="left"/>
      <w:pPr>
        <w:ind w:left="540" w:hanging="280"/>
      </w:pPr>
    </w:lvl>
  </w:abstractNum>
  <w:abstractNum w:abstractNumId="24" w15:restartNumberingAfterBreak="0">
    <w:multiLevelType w:val="hybridMultilevel"/>
    <w:lvl w:ilvl="0" w15:tentative="1">
      <w:start w:val="1"/>
      <w:numFmt w:val="decimal"/>
      <w:lvlText w:val="%1."/>
      <w:lvlJc w:val="left"/>
      <w:pPr>
        <w:ind w:left="540" w:hanging="280"/>
      </w:pPr>
    </w:lvl>
  </w:abstractNum>
  <w:abstractNum w:abstractNumId="25" w15:restartNumberingAfterBreak="0">
    <w:multiLevelType w:val="hybridMultilevel"/>
    <w:lvl w:ilvl="0" w15:tentative="1">
      <w:start w:val="1"/>
      <w:numFmt w:val="decimal"/>
      <w:lvlText w:val="%1."/>
      <w:lvlJc w:val="left"/>
      <w:pPr>
        <w:ind w:left="540" w:hanging="280"/>
      </w:pPr>
    </w:lvl>
  </w:abstractNum>
  <w:abstractNum w:abstractNumId="26" w15:restartNumberingAfterBreak="0">
    <w:multiLevelType w:val="hybridMultilevel"/>
    <w:lvl w:ilvl="0" w15:tentative="1">
      <w:start w:val="1"/>
      <w:numFmt w:val="decimal"/>
      <w:lvlText w:val="%1."/>
      <w:lvlJc w:val="left"/>
      <w:pPr>
        <w:ind w:left="540" w:hanging="280"/>
      </w:pPr>
    </w:lvl>
  </w:abstractNum>
  <w:abstractNum w:abstractNumId="27" w15:restartNumberingAfterBreak="0">
    <w:multiLevelType w:val="hybridMultilevel"/>
    <w:lvl w:ilvl="0" w15:tentative="1">
      <w:start w:val="1"/>
      <w:numFmt w:val="decimal"/>
      <w:lvlText w:val="%1."/>
      <w:lvlJc w:val="left"/>
      <w:pPr>
        <w:ind w:left="540" w:hanging="280"/>
      </w:pPr>
    </w:lvl>
  </w:abstractNum>
  <w:abstractNum w:abstractNumId="28" w15:restartNumberingAfterBreak="0">
    <w:multiLevelType w:val="hybridMultilevel"/>
    <w:lvl w:ilvl="0" w15:tentative="1">
      <w:start w:val="1"/>
      <w:numFmt w:val="decimal"/>
      <w:lvlText w:val="%1."/>
      <w:lvlJc w:val="left"/>
      <w:pPr>
        <w:ind w:left="540" w:hanging="280"/>
      </w:pPr>
    </w:lvl>
  </w:abstractNum>
  <w:abstractNum w:abstractNumId="29" w15:restartNumberingAfterBreak="0">
    <w:multiLevelType w:val="hybridMultilevel"/>
    <w:lvl w:ilvl="0" w15:tentative="1">
      <w:start w:val="1"/>
      <w:numFmt w:val="decimal"/>
      <w:lvlText w:val="%1."/>
      <w:lvlJc w:val="left"/>
      <w:pPr>
        <w:ind w:left="540" w:hanging="280"/>
      </w:pPr>
    </w:lvl>
  </w:abstractNum>
  <w:abstractNum w:abstractNumId="30" w15:restartNumberingAfterBreak="0">
    <w:multiLevelType w:val="hybridMultilevel"/>
    <w:lvl w:ilvl="0" w15:tentative="1">
      <w:start w:val="1"/>
      <w:numFmt w:val="decimal"/>
      <w:lvlText w:val="%1."/>
      <w:lvlJc w:val="left"/>
      <w:pPr>
        <w:ind w:left="540" w:hanging="280"/>
      </w:pPr>
    </w:lvl>
  </w:abstractNum>
  <w:abstractNum w:abstractNumId="31" w15:restartNumberingAfterBreak="0">
    <w:multiLevelType w:val="hybridMultilevel"/>
    <w:lvl w:ilvl="0" w15:tentative="1">
      <w:start w:val="1"/>
      <w:numFmt w:val="decimal"/>
      <w:lvlText w:val="%1."/>
      <w:lvlJc w:val="left"/>
      <w:pPr>
        <w:ind w:left="540" w:hanging="280"/>
      </w:pPr>
    </w:lvl>
  </w:abstractNum>
  <w:abstractNum w:abstractNumId="32" w15:restartNumberingAfterBreak="0">
    <w:multiLevelType w:val="hybridMultilevel"/>
    <w:lvl w:ilvl="0" w15:tentative="1">
      <w:start w:val="1"/>
      <w:numFmt w:val="decimal"/>
      <w:lvlText w:val="%1."/>
      <w:lvlJc w:val="left"/>
      <w:pPr>
        <w:ind w:left="540" w:hanging="280"/>
      </w:pPr>
    </w:lvl>
  </w:abstractNum>
  <w:abstractNum w:abstractNumId="33" w15:restartNumberingAfterBreak="0">
    <w:multiLevelType w:val="hybridMultilevel"/>
    <w:lvl w:ilvl="0" w15:tentative="1">
      <w:start w:val="1"/>
      <w:numFmt w:val="decimal"/>
      <w:lvlText w:val="%1."/>
      <w:lvlJc w:val="left"/>
      <w:pPr>
        <w:ind w:left="540" w:hanging="280"/>
      </w:pPr>
    </w:lvl>
  </w:abstractNum>
  <w:abstractNum w:abstractNumId="34" w15:restartNumberingAfterBreak="0">
    <w:multiLevelType w:val="hybridMultilevel"/>
    <w:lvl w:ilvl="0" w15:tentative="1">
      <w:start w:val="1"/>
      <w:numFmt w:val="decimal"/>
      <w:lvlText w:val="%1."/>
      <w:lvlJc w:val="left"/>
      <w:pPr>
        <w:ind w:left="540" w:hanging="280"/>
      </w:pPr>
    </w:lvl>
  </w:abstractNum>
  <w:abstractNum w:abstractNumId="35" w15:restartNumberingAfterBreak="0">
    <w:multiLevelType w:val="hybridMultilevel"/>
    <w:lvl w:ilvl="0" w15:tentative="1">
      <w:start w:val="1"/>
      <w:numFmt w:val="decimal"/>
      <w:lvlText w:val="%1."/>
      <w:lvlJc w:val="left"/>
      <w:pPr>
        <w:ind w:left="540" w:hanging="280"/>
      </w:pPr>
    </w:lvl>
  </w:abstractNum>
  <w:abstractNum w:abstractNumId="36" w15:restartNumberingAfterBreak="0">
    <w:multiLevelType w:val="hybridMultilevel"/>
    <w:lvl w:ilvl="0" w15:tentative="1">
      <w:start w:val="1"/>
      <w:numFmt w:val="decimal"/>
      <w:lvlText w:val="%1."/>
      <w:lvlJc w:val="left"/>
      <w:pPr>
        <w:ind w:left="540" w:hanging="280"/>
      </w:pPr>
    </w:lvl>
  </w:abstractNum>
  <w:abstractNum w:abstractNumId="37" w15:restartNumberingAfterBreak="0">
    <w:multiLevelType w:val="hybridMultilevel"/>
    <w:lvl w:ilvl="0" w15:tentative="1">
      <w:start w:val="1"/>
      <w:numFmt w:val="decimal"/>
      <w:lvlText w:val="%1."/>
      <w:lvlJc w:val="left"/>
      <w:pPr>
        <w:ind w:left="540" w:hanging="280"/>
      </w:pPr>
    </w:lvl>
  </w:abstractNum>
  <w:abstractNum w:abstractNumId="38" w15:restartNumberingAfterBreak="0">
    <w:multiLevelType w:val="hybridMultilevel"/>
    <w:lvl w:ilvl="0" w15:tentative="1">
      <w:start w:val="1"/>
      <w:numFmt w:val="decimal"/>
      <w:lvlText w:val="%1."/>
      <w:lvlJc w:val="left"/>
      <w:pPr>
        <w:ind w:left="540" w:hanging="280"/>
      </w:pPr>
    </w:lvl>
  </w:abstractNum>
  <w:abstractNum w:abstractNumId="39" w15:restartNumberingAfterBreak="0">
    <w:multiLevelType w:val="hybridMultilevel"/>
    <w:lvl w:ilvl="0" w15:tentative="1">
      <w:start w:val="1"/>
      <w:numFmt w:val="decimal"/>
      <w:lvlText w:val="%1."/>
      <w:lvlJc w:val="left"/>
      <w:pPr>
        <w:ind w:left="540" w:hanging="280"/>
      </w:pPr>
    </w:lvl>
  </w:abstractNum>
  <w:abstractNum w:abstractNumId="40" w15:restartNumberingAfterBreak="0">
    <w:multiLevelType w:val="hybridMultilevel"/>
    <w:lvl w:ilvl="0" w15:tentative="1">
      <w:start w:val="1"/>
      <w:numFmt w:val="decimal"/>
      <w:lvlText w:val="%1."/>
      <w:lvlJc w:val="left"/>
      <w:pPr>
        <w:ind w:left="540" w:hanging="280"/>
      </w:pPr>
    </w:lvl>
  </w:abstractNum>
  <w:abstractNum w:abstractNumId="41" w15:restartNumberingAfterBreak="0">
    <w:multiLevelType w:val="hybridMultilevel"/>
    <w:lvl w:ilvl="0" w15:tentative="1">
      <w:start w:val="1"/>
      <w:numFmt w:val="decimal"/>
      <w:lvlText w:val="%1."/>
      <w:lvlJc w:val="left"/>
      <w:pPr>
        <w:ind w:left="540" w:hanging="280"/>
      </w:pPr>
    </w:lvl>
  </w:abstractNum>
  <w:abstractNum w:abstractNumId="42"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443152"/>
      <w:sz w:val="34"/>
      <w:szCs w:val="34"/>
    </w:rPr>
  </w:style>
  <w:style w:type="paragraph" w:styleId="Heading2">
    <w:name w:val="Heading 2"/>
    <w:basedOn w:val="Normal"/>
    <w:next w:val="Normal"/>
    <w:qFormat/>
    <w:pPr>
      <w:spacing w:after="140" w:before="280"/>
      <w:outlineLvl w:val="1"/>
    </w:pPr>
    <w:rPr>
      <w:rFonts w:ascii="Calibri" w:cs="Calibri" w:eastAsia="Calibri" w:hAnsi="Calibri"/>
      <w:b/>
      <w:bCs/>
      <w:color w:val="443152"/>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Performance Creative Framework v0.9</dc:title>
  <dc:creator>Wiom</dc:creator>
  <cp:lastModifiedBy>Un-named</cp:lastModifiedBy>
  <cp:revision>1</cp:revision>
  <dcterms:created xsi:type="dcterms:W3CDTF">2026-05-21T05:32:52.554Z</dcterms:created>
  <dcterms:modified xsi:type="dcterms:W3CDTF">2026-05-21T05:32:52.567Z</dcterms:modified>
</cp:coreProperties>
</file>

<file path=docProps/custom.xml><?xml version="1.0" encoding="utf-8"?>
<Properties xmlns="http://schemas.openxmlformats.org/officeDocument/2006/custom-properties" xmlns:vt="http://schemas.openxmlformats.org/officeDocument/2006/docPropsVTypes"/>
</file>