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r>
        <w:t xml:space="preserve"/>
      </w:r>
    </w:p>
    <w:p>
      <w:pPr>
        <w:spacing w:after="40" w:before="100"/>
      </w:pPr>
      <w:r>
        <w:rPr>
          <w:rFonts w:ascii="Calibri" w:cs="Calibri" w:eastAsia="Calibri" w:hAnsi="Calibri"/>
          <w:b/>
          <w:bCs/>
          <w:color w:val="443152"/>
          <w:sz w:val="52"/>
          <w:szCs w:val="52"/>
        </w:rPr>
        <w:t xml:space="preserve">Performance Marketing</w:t>
      </w:r>
    </w:p>
    <w:p>
      <w:pPr>
        <w:spacing w:after="280" w:before="0"/>
      </w:pPr>
      <w:r>
        <w:rPr>
          <w:rFonts w:ascii="Calibri" w:cs="Calibri" w:eastAsia="Calibri" w:hAnsi="Calibri"/>
          <w:b/>
          <w:bCs/>
          <w:color w:val="D9008D"/>
          <w:sz w:val="30"/>
          <w:szCs w:val="30"/>
        </w:rPr>
        <w:t xml:space="preserve">Objective, Principles &amp; Immediate Next Steps</w:t>
      </w:r>
    </w:p>
    <w:p>
      <w:pPr>
        <w:spacing w:after="600" w:before="0"/>
      </w:pPr>
      <w:r>
        <w:rPr>
          <w:rFonts w:ascii="Calibri" w:cs="Calibri" w:eastAsia="Calibri" w:hAnsi="Calibri"/>
          <w:i/>
          <w:iCs/>
          <w:color w:val="443152"/>
          <w:sz w:val="24"/>
          <w:szCs w:val="24"/>
        </w:rPr>
        <w:t xml:space="preserve">We are not building the cheapest WiFi. We are building the first recharge-shaped home-internet category for Bharat. Every activation choice either strengthens that category or quietly collapses it.</w:t>
      </w:r>
    </w:p>
    <w:p>
      <w:pPr>
        <w:pBdr>
          <w:bottom w:val="single" w:color="D0D7DE" w:sz="6" w:space="1"/>
        </w:pBdr>
        <w:spacing w:after="80" w:before="80"/>
      </w:pPr>
      <w:r>
        <w:t xml:space="preserve"/>
      </w:r>
    </w:p>
    <w:p>
      <w:pPr>
        <w:spacing w:after="80" w:before="200"/>
      </w:pPr>
      <w:r>
        <w:rPr>
          <w:rFonts w:ascii="Calibri" w:cs="Calibri" w:eastAsia="Calibri" w:hAnsi="Calibri"/>
          <w:color w:val="5A6B80"/>
          <w:sz w:val="20"/>
          <w:szCs w:val="20"/>
        </w:rPr>
        <w:t xml:space="preserve">For: </w:t>
      </w:r>
      <w:r>
        <w:rPr>
          <w:rFonts w:ascii="Calibri" w:cs="Calibri" w:eastAsia="Calibri" w:hAnsi="Calibri"/>
          <w:b/>
          <w:bCs/>
          <w:color w:val="5A6B80"/>
          <w:sz w:val="20"/>
          <w:szCs w:val="20"/>
        </w:rPr>
        <w:t xml:space="preserve">Performance Marketing team</w:t>
      </w:r>
    </w:p>
    <w:p>
      <w:pPr>
        <w:spacing w:after="80" w:before="0"/>
      </w:pPr>
      <w:r>
        <w:rPr>
          <w:rFonts w:ascii="Calibri" w:cs="Calibri" w:eastAsia="Calibri" w:hAnsi="Calibri"/>
          <w:color w:val="5A6B80"/>
          <w:sz w:val="20"/>
          <w:szCs w:val="20"/>
        </w:rPr>
        <w:t xml:space="preserve">Scope: </w:t>
      </w:r>
      <w:r>
        <w:rPr>
          <w:rFonts w:ascii="Calibri" w:cs="Calibri" w:eastAsia="Calibri" w:hAnsi="Calibri"/>
          <w:b/>
          <w:bCs/>
          <w:color w:val="5A6B80"/>
          <w:sz w:val="20"/>
          <w:szCs w:val="20"/>
        </w:rPr>
        <w:t xml:space="preserve">Activation / performance marketing only. Top-of-funnel is owned separately — see below.</w:t>
      </w:r>
    </w:p>
    <w:p>
      <w:pPr>
        <w:spacing w:after="80" w:before="0"/>
      </w:pPr>
      <w:r>
        <w:rPr>
          <w:rFonts w:ascii="Calibri" w:cs="Calibri" w:eastAsia="Calibri" w:hAnsi="Calibri"/>
          <w:color w:val="5A6B80"/>
          <w:sz w:val="20"/>
          <w:szCs w:val="20"/>
        </w:rPr>
        <w:t xml:space="preserve">Status: </w:t>
      </w:r>
      <w:r>
        <w:rPr>
          <w:rFonts w:ascii="Calibri" w:cs="Calibri" w:eastAsia="Calibri" w:hAnsi="Calibri"/>
          <w:b/>
          <w:bCs/>
          <w:color w:val="5A6B80"/>
          <w:sz w:val="20"/>
          <w:szCs w:val="20"/>
        </w:rPr>
        <w:t xml:space="preserve">v0.9 — operating doc, lockable now</w:t>
      </w:r>
    </w:p>
    <w:p>
      <w:pPr>
        <w:spacing w:before="0"/>
      </w:pPr>
      <w:r>
        <w:rPr>
          <w:rFonts w:ascii="Calibri" w:cs="Calibri" w:eastAsia="Calibri" w:hAnsi="Calibri"/>
          <w:color w:val="5A6B80"/>
          <w:sz w:val="20"/>
          <w:szCs w:val="20"/>
        </w:rPr>
        <w:t xml:space="preserve">Subordinate to: </w:t>
      </w:r>
      <w:r>
        <w:rPr>
          <w:rFonts w:ascii="Calibri" w:cs="Calibri" w:eastAsia="Calibri" w:hAnsi="Calibri"/>
          <w:b/>
          <w:bCs/>
          <w:color w:val="5A6B80"/>
          <w:sz w:val="20"/>
          <w:szCs w:val="20"/>
        </w:rPr>
        <w:t xml:space="preserve">Growth Function doc and Growth Foundational Truths. Any contradiction resolves upward.</w:t>
      </w:r>
    </w:p>
    <w:p>
      <w:r>
        <w:br w:type="page"/>
      </w:r>
    </w:p>
    <w:p>
      <w:pPr>
        <w:pStyle w:val="Heading1"/>
        <w:spacing w:after="200" w:before="360"/>
      </w:pPr>
      <w:r>
        <w:rPr>
          <w:rFonts w:ascii="Calibri" w:cs="Calibri" w:eastAsia="Calibri" w:hAnsi="Calibri"/>
          <w:b/>
          <w:bCs/>
          <w:color w:val="443152"/>
          <w:sz w:val="34"/>
          <w:szCs w:val="34"/>
        </w:rPr>
        <w:t xml:space="preserve">Read this first</w:t>
      </w:r>
    </w:p>
    <w:p>
      <w:pPr>
        <w:spacing w:after="100" w:before="100" w:line="320"/>
      </w:pPr>
      <w:r>
        <w:rPr>
          <w:rFonts w:ascii="Calibri" w:cs="Calibri" w:eastAsia="Calibri" w:hAnsi="Calibri"/>
          <w:color w:val="222222"/>
          <w:sz w:val="22"/>
          <w:szCs w:val="22"/>
        </w:rPr>
        <w:t xml:space="preserve">This is your operating doc for activation / performance marketing. Read it once, then start. The whole point of performance marketing at Wiom is captured in one objective and a handful of non-negotiables — everything else is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CRITICAL</w:t>
            </w:r>
          </w:p>
          <w:p>
            <w:pPr>
              <w:spacing w:after="40" w:before="40" w:line="300"/>
            </w:pPr>
            <w:r>
              <w:rPr>
                <w:rFonts w:ascii="Calibri" w:cs="Calibri" w:eastAsia="Calibri" w:hAnsi="Calibri"/>
                <w:color w:val="222222"/>
                <w:sz w:val="22"/>
                <w:szCs w:val="22"/>
              </w:rPr>
              <w:t xml:space="preserve">Scope and the ToF carve-out. This doc covers ACTIVATION only — capturing in-market demand and converting it into recharge-quality bookings. Top-of-funnel category-building (meaning, belief shifts, social legitimacy) is owned by the upper-funnel / brand function. You do not need to think about ToF. Stay sharp on activation.</w:t>
            </w:r>
          </w:p>
        </w:tc>
      </w:tr>
    </w:tbl>
    <w:p>
      <w:pPr>
        <w:pStyle w:val="Heading2"/>
        <w:spacing w:after="140" w:before="280"/>
      </w:pPr>
      <w:r>
        <w:rPr>
          <w:rFonts w:ascii="Calibri" w:cs="Calibri" w:eastAsia="Calibri" w:hAnsi="Calibri"/>
          <w:b/>
          <w:bCs/>
          <w:color w:val="443152"/>
          <w:sz w:val="27"/>
          <w:szCs w:val="27"/>
        </w:rPr>
        <w:t xml:space="preserve">In 60 seconds</w:t>
      </w:r>
    </w:p>
    <w:p>
      <w:pPr>
        <w:pStyle w:val="ListParagraph"/>
        <w:numPr>
          <w:ilvl w:val="0"/>
          <w:numId w:val="2"/>
        </w:numPr>
        <w:spacing w:after="80" w:before="80" w:line="320"/>
      </w:pPr>
      <w:r>
        <w:rPr>
          <w:rFonts w:ascii="Calibri" w:cs="Calibri" w:eastAsia="Calibri" w:hAnsi="Calibri"/>
          <w:b/>
          <w:bCs/>
          <w:color w:val="222222"/>
          <w:sz w:val="22"/>
          <w:szCs w:val="22"/>
        </w:rPr>
        <w:t xml:space="preserve">The objective is recharge-capable demand, not volume.</w:t>
      </w:r>
      <w:r>
        <w:rPr>
          <w:rFonts w:ascii="Calibri" w:cs="Calibri" w:eastAsia="Calibri" w:hAnsi="Calibri"/>
          <w:color w:val="222222"/>
          <w:sz w:val="22"/>
          <w:szCs w:val="22"/>
        </w:rPr>
        <w:t xml:space="preserve"> Success is qualified bookings whose recharge behavior validates the category — not cheapest CAC, not most installs.</w:t>
      </w:r>
    </w:p>
    <w:p>
      <w:pPr>
        <w:pStyle w:val="ListParagraph"/>
        <w:numPr>
          <w:ilvl w:val="0"/>
          <w:numId w:val="2"/>
        </w:numPr>
        <w:spacing w:after="80" w:before="80" w:line="320"/>
      </w:pPr>
      <w:r>
        <w:rPr>
          <w:rFonts w:ascii="Calibri" w:cs="Calibri" w:eastAsia="Calibri" w:hAnsi="Calibri"/>
          <w:b/>
          <w:bCs/>
          <w:color w:val="222222"/>
          <w:sz w:val="22"/>
          <w:szCs w:val="22"/>
        </w:rPr>
        <w:t xml:space="preserve">Capture using the market’s words; convert using Wiom’s category.</w:t>
      </w:r>
      <w:r>
        <w:rPr>
          <w:rFonts w:ascii="Calibri" w:cs="Calibri" w:eastAsia="Calibri" w:hAnsi="Calibri"/>
          <w:color w:val="222222"/>
          <w:sz w:val="22"/>
          <w:szCs w:val="22"/>
        </w:rPr>
        <w:t xml:space="preserve"> Users search “WiFi.” We meet them there, then anchor them into Recharge-wala Ghar ka Net. WiFi is a discovery bridge, never our identity.</w:t>
      </w:r>
    </w:p>
    <w:p>
      <w:pPr>
        <w:pStyle w:val="ListParagraph"/>
        <w:numPr>
          <w:ilvl w:val="0"/>
          <w:numId w:val="2"/>
        </w:numPr>
        <w:spacing w:after="80" w:before="80" w:line="320"/>
      </w:pPr>
      <w:r>
        <w:rPr>
          <w:rFonts w:ascii="Calibri" w:cs="Calibri" w:eastAsia="Calibri" w:hAnsi="Calibri"/>
          <w:b/>
          <w:bCs/>
          <w:color w:val="222222"/>
          <w:sz w:val="22"/>
          <w:szCs w:val="22"/>
        </w:rPr>
        <w:t xml:space="preserve">The user is the hero; Wiom is the enabler.</w:t>
      </w:r>
      <w:r>
        <w:rPr>
          <w:rFonts w:ascii="Calibri" w:cs="Calibri" w:eastAsia="Calibri" w:hAnsi="Calibri"/>
          <w:color w:val="222222"/>
          <w:sz w:val="22"/>
          <w:szCs w:val="22"/>
        </w:rPr>
        <w:t xml:space="preserve"> Not “Wiom is wonderful.” Rather: “Rohit’s life works better because the net runs according to his need.”</w:t>
      </w:r>
    </w:p>
    <w:p>
      <w:pPr>
        <w:pStyle w:val="ListParagraph"/>
        <w:numPr>
          <w:ilvl w:val="0"/>
          <w:numId w:val="2"/>
        </w:numPr>
        <w:spacing w:after="80" w:before="80" w:line="320"/>
      </w:pPr>
      <w:r>
        <w:rPr>
          <w:rFonts w:ascii="Calibri" w:cs="Calibri" w:eastAsia="Calibri" w:hAnsi="Calibri"/>
          <w:b/>
          <w:bCs/>
          <w:color w:val="222222"/>
          <w:sz w:val="22"/>
          <w:szCs w:val="22"/>
        </w:rPr>
        <w:t xml:space="preserve">Both halves of the category are co-equal.</w:t>
      </w:r>
      <w:r>
        <w:rPr>
          <w:rFonts w:ascii="Calibri" w:cs="Calibri" w:eastAsia="Calibri" w:hAnsi="Calibri"/>
          <w:color w:val="222222"/>
          <w:sz w:val="22"/>
          <w:szCs w:val="22"/>
        </w:rPr>
        <w:t xml:space="preserve"> Whole-home + recharge-shaped. Drop “ghar” and it becomes mobile data; drop “recharge-shaped” and it becomes broadband.</w:t>
      </w:r>
    </w:p>
    <w:p>
      <w:pPr>
        <w:pStyle w:val="ListParagraph"/>
        <w:numPr>
          <w:ilvl w:val="0"/>
          <w:numId w:val="2"/>
        </w:numPr>
        <w:spacing w:after="80" w:before="80" w:line="320"/>
      </w:pPr>
      <w:r>
        <w:rPr>
          <w:rFonts w:ascii="Calibri" w:cs="Calibri" w:eastAsia="Calibri" w:hAnsi="Calibri"/>
          <w:b/>
          <w:bCs/>
          <w:color w:val="222222"/>
          <w:sz w:val="22"/>
          <w:szCs w:val="22"/>
        </w:rPr>
        <w:t xml:space="preserve">Recharge quality is part of the objective.</w:t>
      </w:r>
      <w:r>
        <w:rPr>
          <w:rFonts w:ascii="Calibri" w:cs="Calibri" w:eastAsia="Calibri" w:hAnsi="Calibri"/>
          <w:color w:val="222222"/>
          <w:sz w:val="22"/>
          <w:szCs w:val="22"/>
        </w:rPr>
        <w:t xml:space="preserve"> Booking volume that doesn’t recharge is invalid growth, no matter how cheap.</w:t>
      </w:r>
    </w:p>
    <w:p>
      <w:pPr>
        <w:pStyle w:val="Heading2"/>
        <w:spacing w:after="140" w:before="280"/>
      </w:pPr>
      <w:r>
        <w:rPr>
          <w:rFonts w:ascii="Calibri" w:cs="Calibri" w:eastAsia="Calibri" w:hAnsi="Calibri"/>
          <w:b/>
          <w:bCs/>
          <w:color w:val="443152"/>
          <w:sz w:val="27"/>
          <w:szCs w:val="27"/>
        </w:rPr>
        <w:t xml:space="preserve">What to do this week</w:t>
      </w:r>
    </w:p>
    <w:p>
      <w:pPr>
        <w:pStyle w:val="ListParagraph"/>
        <w:numPr>
          <w:ilvl w:val="0"/>
          <w:numId w:val="3"/>
        </w:numPr>
        <w:spacing w:after="60" w:before="60" w:line="320"/>
      </w:pPr>
      <w:r>
        <w:rPr>
          <w:rFonts w:ascii="Calibri" w:cs="Calibri" w:eastAsia="Calibri" w:hAnsi="Calibri"/>
          <w:b/>
          <w:bCs/>
          <w:color w:val="222222"/>
          <w:sz w:val="22"/>
          <w:szCs w:val="22"/>
        </w:rPr>
        <w:t xml:space="preserve">Run Exercises 1–4 (§8).</w:t>
      </w:r>
      <w:r>
        <w:rPr>
          <w:rFonts w:ascii="Calibri" w:cs="Calibri" w:eastAsia="Calibri" w:hAnsi="Calibri"/>
          <w:color w:val="222222"/>
          <w:sz w:val="22"/>
          <w:szCs w:val="22"/>
        </w:rPr>
        <w:t xml:space="preserve"> The contamination audit (Ex. 4) and constraint-first rewrites (Ex. 2) are highest-leverage — do those first.</w:t>
      </w:r>
    </w:p>
    <w:p>
      <w:pPr>
        <w:pStyle w:val="ListParagraph"/>
        <w:numPr>
          <w:ilvl w:val="0"/>
          <w:numId w:val="3"/>
        </w:numPr>
        <w:spacing w:after="60" w:before="60" w:line="320"/>
      </w:pPr>
      <w:r>
        <w:rPr>
          <w:rFonts w:ascii="Calibri" w:cs="Calibri" w:eastAsia="Calibri" w:hAnsi="Calibri"/>
          <w:b/>
          <w:bCs/>
          <w:color w:val="222222"/>
          <w:sz w:val="22"/>
          <w:szCs w:val="22"/>
        </w:rPr>
        <w:t xml:space="preserve">Hold every creative to the never-do list (§6) and the memory anchors (§4).</w:t>
      </w:r>
      <w:r>
        <w:rPr>
          <w:rFonts w:ascii="Calibri" w:cs="Calibri" w:eastAsia="Calibri" w:hAnsi="Calibri"/>
          <w:color w:val="222222"/>
          <w:sz w:val="22"/>
          <w:szCs w:val="22"/>
        </w:rPr>
        <w:t xml:space="preserve"> These are non-negotiable, not guidelines.</w:t>
      </w:r>
    </w:p>
    <w:p>
      <w:pPr>
        <w:pStyle w:val="ListParagraph"/>
        <w:numPr>
          <w:ilvl w:val="0"/>
          <w:numId w:val="3"/>
        </w:numPr>
        <w:spacing w:after="60" w:before="60" w:line="320"/>
      </w:pPr>
      <w:r>
        <w:rPr>
          <w:rFonts w:ascii="Calibri" w:cs="Calibri" w:eastAsia="Calibri" w:hAnsi="Calibri"/>
          <w:b/>
          <w:bCs/>
          <w:color w:val="222222"/>
          <w:sz w:val="22"/>
          <w:szCs w:val="22"/>
        </w:rPr>
        <w:t xml:space="preserve">Do not wait on the selection framework.</w:t>
      </w:r>
      <w:r>
        <w:rPr>
          <w:rFonts w:ascii="Calibri" w:cs="Calibri" w:eastAsia="Calibri" w:hAnsi="Calibri"/>
          <w:color w:val="222222"/>
          <w:sz w:val="22"/>
          <w:szCs w:val="22"/>
        </w:rPr>
        <w:t xml:space="preserve"> Guneet will roll out the formal creative-selection framework separately. Your job right now is Exercises 1–4 and shipping activation creative under these principles.</w:t>
      </w:r>
    </w:p>
    <w:p>
      <w:r>
        <w:br w:type="page"/>
      </w:r>
    </w:p>
    <w:p>
      <w:pPr>
        <w:pStyle w:val="Heading1"/>
        <w:spacing w:after="200" w:before="360"/>
      </w:pPr>
      <w:r>
        <w:rPr>
          <w:rFonts w:ascii="Calibri" w:cs="Calibri" w:eastAsia="Calibri" w:hAnsi="Calibri"/>
          <w:b/>
          <w:bCs/>
          <w:color w:val="443152"/>
          <w:sz w:val="34"/>
          <w:szCs w:val="34"/>
        </w:rPr>
        <w:t xml:space="preserve">§1 — Objective of performance marketing</w:t>
      </w:r>
    </w:p>
    <w:p>
      <w:pPr>
        <w:spacing w:after="100" w:before="100" w:line="320"/>
      </w:pPr>
      <w:r>
        <w:rPr>
          <w:rFonts w:ascii="Calibri" w:cs="Calibri" w:eastAsia="Calibri" w:hAnsi="Calibri"/>
          <w:color w:val="222222"/>
          <w:sz w:val="22"/>
          <w:szCs w:val="22"/>
        </w:rPr>
        <w:t xml:space="preserve">Performance marketing exists to generate high-quality, recharge-capable household demand for Recharge-wala Ghar ka Net in capacity-ready geographies, while strengthening — not weakening — the category.</w:t>
      </w:r>
    </w:p>
    <w:p>
      <w:pPr>
        <w:spacing w:after="100" w:before="100" w:line="320"/>
      </w:pPr>
      <w:r>
        <w:rPr>
          <w:rFonts w:ascii="Calibri" w:cs="Calibri" w:eastAsia="Calibri" w:hAnsi="Calibri"/>
          <w:color w:val="222222"/>
          <w:sz w:val="22"/>
          <w:szCs w:val="22"/>
        </w:rPr>
        <w:t xml:space="preserve">Success is NOT maximum installs, cheapest CAC, or highest booking volume. Success is maximum qualified demand whose recharge behavior validates the RWGKN category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4"/>
              <w:left w:val="single" w:color="B8860B" w:sz="24"/>
              <w:bottom w:val="single" w:color="FFF7E0" w:sz="4"/>
              <w:right w:val="single" w:color="FFF7E0" w:sz="4"/>
            </w:tcBorders>
            <w:shd w:fill="FFF7E0" w:val="clear"/>
            <w:tcMar>
              <w:top w:type="dxa" w:w="120"/>
              <w:left w:type="dxa" w:w="220"/>
              <w:bottom w:type="dxa" w:w="120"/>
              <w:right w:type="dxa" w:w="200"/>
            </w:tcMar>
          </w:tcPr>
          <w:p>
            <w:pPr>
              <w:spacing w:after="60" w:before="40"/>
            </w:pPr>
            <w:r>
              <w:rPr>
                <w:rFonts w:ascii="Calibri" w:cs="Calibri" w:eastAsia="Calibri" w:hAnsi="Calibri"/>
                <w:b/>
                <w:bCs/>
                <w:color w:val="B8860B"/>
                <w:sz w:val="18"/>
                <w:szCs w:val="18"/>
              </w:rPr>
              <w:t xml:space="preserve">RULE</w:t>
            </w:r>
          </w:p>
          <w:p>
            <w:pPr>
              <w:spacing w:after="40" w:before="40" w:line="300"/>
            </w:pPr>
            <w:r>
              <w:rPr>
                <w:rFonts w:ascii="Calibri" w:cs="Calibri" w:eastAsia="Calibri" w:hAnsi="Calibri"/>
                <w:color w:val="222222"/>
                <w:sz w:val="22"/>
                <w:szCs w:val="22"/>
              </w:rPr>
              <w:t xml:space="preserve">The metric is the compound primary metric from the Growth Function doc: qualified bookings × first-recharge conversion. Reported as a pair. Booking volume alone is never the measure. The goal is adoption of whole-home internet with recharge-shaped commitment behavior — not cheap WiFi acquisition.</w:t>
            </w:r>
          </w:p>
        </w:tc>
      </w:tr>
    </w:tbl>
    <w:p>
      <w:pPr>
        <w:pStyle w:val="Heading1"/>
        <w:spacing w:after="200" w:before="360"/>
      </w:pPr>
      <w:r>
        <w:rPr>
          <w:rFonts w:ascii="Calibri" w:cs="Calibri" w:eastAsia="Calibri" w:hAnsi="Calibri"/>
          <w:b/>
          <w:bCs/>
          <w:color w:val="443152"/>
          <w:sz w:val="34"/>
          <w:szCs w:val="34"/>
        </w:rPr>
        <w:t xml:space="preserve">§2 — Primary operating principle</w:t>
      </w:r>
    </w:p>
    <w:p>
      <w:pPr>
        <w:pBdr>
          <w:left w:val="single" w:color="D9008D" w:sz="18" w:space="12"/>
        </w:pBdr>
        <w:spacing w:after="200" w:before="80" w:line="320"/>
        <w:ind w:left="360"/>
      </w:pPr>
      <w:r>
        <w:rPr>
          <w:rFonts w:ascii="Calibri" w:cs="Calibri" w:eastAsia="Calibri" w:hAnsi="Calibri"/>
          <w:i/>
          <w:iCs/>
          <w:color w:val="222222"/>
          <w:sz w:val="22"/>
          <w:szCs w:val="22"/>
        </w:rPr>
        <w:t xml:space="preserve">Capture using the market’s words. Convert using Wiom’s category.</w:t>
      </w:r>
    </w:p>
    <w:p>
      <w:pPr>
        <w:spacing w:after="100" w:before="100" w:line="320"/>
      </w:pPr>
      <w:r>
        <w:rPr>
          <w:rFonts w:ascii="Calibri" w:cs="Calibri" w:eastAsia="Calibri" w:hAnsi="Calibri"/>
          <w:color w:val="222222"/>
          <w:sz w:val="22"/>
          <w:szCs w:val="22"/>
        </w:rPr>
        <w:t xml:space="preserve">Users may search “WiFi.” We meet them at that word — but Wiom must anchor them into Recharge-wala Ghar ka Net. WiFi is a discovery bridge. It is never the category identity.</w:t>
      </w:r>
    </w:p>
    <w:p>
      <w:pPr>
        <w:pStyle w:val="ListParagraph"/>
        <w:numPr>
          <w:ilvl w:val="0"/>
          <w:numId w:val="2"/>
        </w:numPr>
        <w:spacing w:after="60" w:before="60" w:line="320"/>
      </w:pPr>
      <w:r>
        <w:rPr>
          <w:rFonts w:ascii="Calibri" w:cs="Calibri" w:eastAsia="Calibri" w:hAnsi="Calibri"/>
          <w:b/>
          <w:bCs/>
          <w:color w:val="222222"/>
          <w:sz w:val="22"/>
          <w:szCs w:val="22"/>
        </w:rPr>
        <w:t xml:space="preserve">Allowed (capture): </w:t>
      </w:r>
      <w:r>
        <w:rPr>
          <w:rFonts w:ascii="Calibri" w:cs="Calibri" w:eastAsia="Calibri" w:hAnsi="Calibri"/>
          <w:color w:val="222222"/>
          <w:sz w:val="22"/>
          <w:szCs w:val="22"/>
        </w:rPr>
        <w:t xml:space="preserve">bidding on “home wifi near me”; an ad opening “WiFi lene jaa rahe ho?” — the word is in the user’s mouth.</w:t>
      </w:r>
    </w:p>
    <w:p>
      <w:pPr>
        <w:pStyle w:val="ListParagraph"/>
        <w:numPr>
          <w:ilvl w:val="0"/>
          <w:numId w:val="2"/>
        </w:numPr>
        <w:spacing w:after="60" w:before="60" w:line="320"/>
      </w:pPr>
      <w:r>
        <w:rPr>
          <w:rFonts w:ascii="Calibri" w:cs="Calibri" w:eastAsia="Calibri" w:hAnsi="Calibri"/>
          <w:b/>
          <w:bCs/>
          <w:color w:val="222222"/>
          <w:sz w:val="22"/>
          <w:szCs w:val="22"/>
        </w:rPr>
        <w:t xml:space="preserve">Not allowed (identity): </w:t>
      </w:r>
      <w:r>
        <w:rPr>
          <w:rFonts w:ascii="Calibri" w:cs="Calibri" w:eastAsia="Calibri" w:hAnsi="Calibri"/>
          <w:color w:val="222222"/>
          <w:sz w:val="22"/>
          <w:szCs w:val="22"/>
        </w:rPr>
        <w:t xml:space="preserve">“Wiom — best cheap WiFi”; any framing that asks the user to compare us to Jio / Airtel / broadband on their terms.</w:t>
      </w:r>
    </w:p>
    <w:p>
      <w:pPr>
        <w:pStyle w:val="Heading1"/>
        <w:spacing w:after="200" w:before="360"/>
      </w:pPr>
      <w:r>
        <w:rPr>
          <w:rFonts w:ascii="Calibri" w:cs="Calibri" w:eastAsia="Calibri" w:hAnsi="Calibri"/>
          <w:b/>
          <w:bCs/>
          <w:color w:val="443152"/>
          <w:sz w:val="34"/>
          <w:szCs w:val="34"/>
        </w:rPr>
        <w:t xml:space="preserve">§3 — The user is the hero</w:t>
      </w:r>
    </w:p>
    <w:p>
      <w:pPr>
        <w:spacing w:after="100" w:before="100" w:line="320"/>
      </w:pPr>
      <w:r>
        <w:rPr>
          <w:rFonts w:ascii="Calibri" w:cs="Calibri" w:eastAsia="Calibri" w:hAnsi="Calibri"/>
          <w:color w:val="222222"/>
          <w:sz w:val="22"/>
          <w:szCs w:val="22"/>
        </w:rPr>
        <w:t xml:space="preserve">The customer is the emotional center. Wiom is the enabler. The rule is the memory imprint. We do not make “Wiom is wonderful” ads. We make “Rohit’s life works better because the net works according to his need.”</w:t>
      </w:r>
    </w:p>
    <w:p>
      <w:pPr>
        <w:spacing w:after="100" w:before="100" w:line="320"/>
      </w:pPr>
      <w:r>
        <w:rPr>
          <w:rFonts w:ascii="Calibri" w:cs="Calibri" w:eastAsia="Calibri" w:hAnsi="Calibri"/>
          <w:color w:val="222222"/>
          <w:sz w:val="22"/>
          <w:szCs w:val="22"/>
        </w:rPr>
        <w:t xml:space="preserve">Strongest creative structure:</w:t>
      </w:r>
    </w:p>
    <w:p>
      <w:pPr>
        <w:pStyle w:val="ListParagraph"/>
        <w:numPr>
          <w:ilvl w:val="0"/>
          <w:numId w:val="4"/>
        </w:numPr>
        <w:spacing w:after="60" w:before="60" w:line="320"/>
      </w:pPr>
      <w:r>
        <w:rPr>
          <w:rFonts w:ascii="Calibri" w:cs="Calibri" w:eastAsia="Calibri" w:hAnsi="Calibri"/>
          <w:color w:val="222222"/>
          <w:sz w:val="22"/>
          <w:szCs w:val="22"/>
        </w:rPr>
        <w:t xml:space="preserve">User constraint — open on their reality, not our feature.</w:t>
      </w:r>
    </w:p>
    <w:p>
      <w:pPr>
        <w:pStyle w:val="ListParagraph"/>
        <w:numPr>
          <w:ilvl w:val="0"/>
          <w:numId w:val="4"/>
        </w:numPr>
        <w:spacing w:after="60" w:before="60" w:line="320"/>
      </w:pPr>
      <w:r>
        <w:rPr>
          <w:rFonts w:ascii="Calibri" w:cs="Calibri" w:eastAsia="Calibri" w:hAnsi="Calibri"/>
          <w:color w:val="222222"/>
          <w:sz w:val="22"/>
          <w:szCs w:val="22"/>
        </w:rPr>
        <w:t xml:space="preserve">Household reality — the whole-home tension.</w:t>
      </w:r>
    </w:p>
    <w:p>
      <w:pPr>
        <w:pStyle w:val="ListParagraph"/>
        <w:numPr>
          <w:ilvl w:val="0"/>
          <w:numId w:val="4"/>
        </w:numPr>
        <w:spacing w:after="60" w:before="60" w:line="320"/>
      </w:pPr>
      <w:r>
        <w:rPr>
          <w:rFonts w:ascii="Calibri" w:cs="Calibri" w:eastAsia="Calibri" w:hAnsi="Calibri"/>
          <w:color w:val="222222"/>
          <w:sz w:val="22"/>
          <w:szCs w:val="22"/>
        </w:rPr>
        <w:t xml:space="preserve">Recognition — the user sees themselves.</w:t>
      </w:r>
    </w:p>
    <w:p>
      <w:pPr>
        <w:pStyle w:val="ListParagraph"/>
        <w:numPr>
          <w:ilvl w:val="0"/>
          <w:numId w:val="4"/>
        </w:numPr>
        <w:spacing w:after="60" w:before="60" w:line="320"/>
      </w:pPr>
      <w:r>
        <w:rPr>
          <w:rFonts w:ascii="Calibri" w:cs="Calibri" w:eastAsia="Calibri" w:hAnsi="Calibri"/>
          <w:color w:val="222222"/>
          <w:sz w:val="22"/>
          <w:szCs w:val="22"/>
        </w:rPr>
        <w:t xml:space="preserve">Recharge-shaped resolution — Wiom enters as the tool that resolves it.</w:t>
      </w:r>
    </w:p>
    <w:p>
      <w:pPr>
        <w:pStyle w:val="ListParagraph"/>
        <w:numPr>
          <w:ilvl w:val="0"/>
          <w:numId w:val="4"/>
        </w:numPr>
        <w:spacing w:after="60" w:before="60" w:line="320"/>
      </w:pPr>
      <w:r>
        <w:rPr>
          <w:rFonts w:ascii="Calibri" w:cs="Calibri" w:eastAsia="Calibri" w:hAnsi="Calibri"/>
          <w:color w:val="222222"/>
          <w:sz w:val="22"/>
          <w:szCs w:val="22"/>
        </w:rPr>
        <w:t xml:space="preserve">Memory line — close on a category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7" w:sz="4"/>
              <w:left w:val="single" w:color="5A6B80" w:sz="24"/>
              <w:bottom w:val="single" w:color="EEF2F7" w:sz="4"/>
              <w:right w:val="single" w:color="EEF2F7" w:sz="4"/>
            </w:tcBorders>
            <w:shd w:fill="EEF2F7" w:val="clear"/>
            <w:tcMar>
              <w:top w:type="dxa" w:w="120"/>
              <w:left w:type="dxa" w:w="220"/>
              <w:bottom w:type="dxa" w:w="120"/>
              <w:right w:type="dxa" w:w="200"/>
            </w:tcMar>
          </w:tcPr>
          <w:p>
            <w:pPr>
              <w:spacing w:after="60" w:before="40"/>
            </w:pPr>
            <w:r>
              <w:rPr>
                <w:rFonts w:ascii="Calibri" w:cs="Calibri" w:eastAsia="Calibri" w:hAnsi="Calibri"/>
                <w:b/>
                <w:bCs/>
                <w:color w:val="5A6B80"/>
                <w:sz w:val="18"/>
                <w:szCs w:val="18"/>
              </w:rPr>
              <w:t xml:space="preserve">NOTE</w:t>
            </w:r>
          </w:p>
          <w:p>
            <w:pPr>
              <w:spacing w:after="40" w:before="40" w:line="300"/>
            </w:pPr>
            <w:r>
              <w:rPr>
                <w:rFonts w:ascii="Calibri" w:cs="Calibri" w:eastAsia="Calibri" w:hAnsi="Calibri"/>
                <w:color w:val="222222"/>
                <w:sz w:val="22"/>
                <w:szCs w:val="22"/>
              </w:rPr>
              <w:t xml:space="preserve">In a short activation ad you compress the hero — “you” and your situation — but you never abandon them for the product. If the product is the subject of the sentence, rewrite. The user stays the subject; Wiom enters only as the resolution.</w:t>
            </w:r>
          </w:p>
        </w:tc>
      </w:tr>
    </w:tbl>
    <w:p>
      <w:pPr>
        <w:pStyle w:val="Heading1"/>
        <w:spacing w:after="200" w:before="360"/>
      </w:pPr>
      <w:r>
        <w:rPr>
          <w:rFonts w:ascii="Calibri" w:cs="Calibri" w:eastAsia="Calibri" w:hAnsi="Calibri"/>
          <w:b/>
          <w:bCs/>
          <w:color w:val="443152"/>
          <w:sz w:val="34"/>
          <w:szCs w:val="34"/>
        </w:rPr>
        <w:t xml:space="preserve">§4 — The three memory anchors (non-negotiable)</w:t>
      </w:r>
    </w:p>
    <w:p>
      <w:pPr>
        <w:spacing w:after="100" w:before="100" w:line="320"/>
      </w:pPr>
      <w:r>
        <w:rPr>
          <w:rFonts w:ascii="Calibri" w:cs="Calibri" w:eastAsia="Calibri" w:hAnsi="Calibri"/>
          <w:color w:val="222222"/>
          <w:sz w:val="22"/>
          <w:szCs w:val="22"/>
        </w:rPr>
        <w:t xml:space="preserve">These are not campaign copy. They are category-memory assets. Every surface reinforces them repeatedly. No creative exploration may fragment them.</w:t>
      </w:r>
    </w:p>
    <w:p>
      <w:pPr>
        <w:pStyle w:val="ListParagraph"/>
        <w:numPr>
          <w:ilvl w:val="0"/>
          <w:numId w:val="5"/>
        </w:numPr>
        <w:spacing w:after="60" w:before="60" w:line="320"/>
      </w:pPr>
      <w:r>
        <w:rPr>
          <w:rFonts w:ascii="Calibri" w:cs="Calibri" w:eastAsia="Calibri" w:hAnsi="Calibri"/>
          <w:b/>
          <w:bCs/>
          <w:color w:val="222222"/>
          <w:sz w:val="22"/>
          <w:szCs w:val="22"/>
        </w:rPr>
        <w:t xml:space="preserve">Recharge-wala Ghar ka Net</w:t>
      </w:r>
      <w:r>
        <w:rPr>
          <w:rFonts w:ascii="Calibri" w:cs="Calibri" w:eastAsia="Calibri" w:hAnsi="Calibri"/>
          <w:color w:val="222222"/>
          <w:sz w:val="22"/>
          <w:szCs w:val="22"/>
        </w:rPr>
        <w:t xml:space="preserve"> — the category label.</w:t>
      </w:r>
    </w:p>
    <w:p>
      <w:pPr>
        <w:pStyle w:val="ListParagraph"/>
        <w:numPr>
          <w:ilvl w:val="0"/>
          <w:numId w:val="5"/>
        </w:numPr>
        <w:spacing w:after="60" w:before="60" w:line="320"/>
      </w:pPr>
      <w:r>
        <w:rPr>
          <w:rFonts w:ascii="Calibri" w:cs="Calibri" w:eastAsia="Calibri" w:hAnsi="Calibri"/>
          <w:b/>
          <w:bCs/>
          <w:color w:val="222222"/>
          <w:sz w:val="22"/>
          <w:szCs w:val="22"/>
        </w:rPr>
        <w:t xml:space="preserve">Jitne din recharge, utne din net</w:t>
      </w:r>
      <w:r>
        <w:rPr>
          <w:rFonts w:ascii="Calibri" w:cs="Calibri" w:eastAsia="Calibri" w:hAnsi="Calibri"/>
          <w:color w:val="222222"/>
          <w:sz w:val="22"/>
          <w:szCs w:val="22"/>
        </w:rPr>
        <w:t xml:space="preserve"> — the operating rule.</w:t>
      </w:r>
    </w:p>
    <w:p>
      <w:pPr>
        <w:pStyle w:val="ListParagraph"/>
        <w:numPr>
          <w:ilvl w:val="0"/>
          <w:numId w:val="5"/>
        </w:numPr>
        <w:spacing w:after="60" w:before="60" w:line="320"/>
      </w:pPr>
      <w:r>
        <w:rPr>
          <w:rFonts w:ascii="Calibri" w:cs="Calibri" w:eastAsia="Calibri" w:hAnsi="Calibri"/>
          <w:b/>
          <w:bCs/>
          <w:color w:val="222222"/>
          <w:sz w:val="22"/>
          <w:szCs w:val="22"/>
        </w:rPr>
        <w:t xml:space="preserve">Chale aapke hisaab se</w:t>
      </w:r>
      <w:r>
        <w:rPr>
          <w:rFonts w:ascii="Calibri" w:cs="Calibri" w:eastAsia="Calibri" w:hAnsi="Calibri"/>
          <w:color w:val="222222"/>
          <w:sz w:val="22"/>
          <w:szCs w:val="22"/>
        </w:rPr>
        <w:t xml:space="preserve"> — the emotional / control imprint.</w:t>
      </w:r>
    </w:p>
    <w:p>
      <w:pPr>
        <w:pStyle w:val="Heading1"/>
        <w:spacing w:after="200" w:before="360"/>
      </w:pPr>
      <w:r>
        <w:rPr>
          <w:rFonts w:ascii="Calibri" w:cs="Calibri" w:eastAsia="Calibri" w:hAnsi="Calibri"/>
          <w:b/>
          <w:bCs/>
          <w:color w:val="443152"/>
          <w:sz w:val="34"/>
          <w:szCs w:val="34"/>
        </w:rPr>
        <w:t xml:space="preserve">§5 — The core category truth</w:t>
      </w:r>
    </w:p>
    <w:p>
      <w:pPr>
        <w:spacing w:after="100" w:before="100" w:line="320"/>
      </w:pPr>
      <w:r>
        <w:rPr>
          <w:rFonts w:ascii="Calibri" w:cs="Calibri" w:eastAsia="Calibri" w:hAnsi="Calibri"/>
          <w:color w:val="222222"/>
          <w:sz w:val="22"/>
          <w:szCs w:val="22"/>
        </w:rPr>
        <w:t xml:space="preserve">RWGKN is NOT cheap broadband, prepaid WiFi, mobile data for home, a dongle, or a hotspot-replacement device.</w:t>
      </w:r>
    </w:p>
    <w:p>
      <w:pPr>
        <w:pBdr>
          <w:left w:val="single" w:color="D9008D" w:sz="18" w:space="12"/>
        </w:pBdr>
        <w:spacing w:after="200" w:before="80" w:line="320"/>
        <w:ind w:left="360"/>
      </w:pPr>
      <w:r>
        <w:rPr>
          <w:rFonts w:ascii="Calibri" w:cs="Calibri" w:eastAsia="Calibri" w:hAnsi="Calibri"/>
          <w:i/>
          <w:iCs/>
          <w:color w:val="222222"/>
          <w:sz w:val="22"/>
          <w:szCs w:val="22"/>
        </w:rPr>
        <w:t xml:space="preserve">RWGKN = whole-home internet with recharge-shaped commitment behavior.</w:t>
      </w:r>
    </w:p>
    <w:p>
      <w:pPr>
        <w:spacing w:after="100" w:before="100" w:line="320"/>
      </w:pPr>
      <w:r>
        <w:rPr>
          <w:rFonts w:ascii="Calibri" w:cs="Calibri" w:eastAsia="Calibri" w:hAnsi="Calibri"/>
          <w:color w:val="222222"/>
          <w:sz w:val="22"/>
          <w:szCs w:val="22"/>
        </w:rPr>
        <w:t xml:space="preserve">Both parts are co-equal:</w:t>
      </w:r>
    </w:p>
    <w:p>
      <w:pPr>
        <w:pStyle w:val="ListParagraph"/>
        <w:numPr>
          <w:ilvl w:val="0"/>
          <w:numId w:val="2"/>
        </w:numPr>
        <w:spacing w:after="60" w:before="60" w:line="320"/>
      </w:pPr>
      <w:r>
        <w:rPr>
          <w:rFonts w:ascii="Calibri" w:cs="Calibri" w:eastAsia="Calibri" w:hAnsi="Calibri"/>
          <w:color w:val="222222"/>
          <w:sz w:val="22"/>
          <w:szCs w:val="22"/>
        </w:rPr>
        <w:t xml:space="preserve">Remove “ghar” → it becomes mobile data.</w:t>
      </w:r>
    </w:p>
    <w:p>
      <w:pPr>
        <w:pStyle w:val="ListParagraph"/>
        <w:numPr>
          <w:ilvl w:val="0"/>
          <w:numId w:val="2"/>
        </w:numPr>
        <w:spacing w:after="60" w:before="60" w:line="320"/>
      </w:pPr>
      <w:r>
        <w:rPr>
          <w:rFonts w:ascii="Calibri" w:cs="Calibri" w:eastAsia="Calibri" w:hAnsi="Calibri"/>
          <w:color w:val="222222"/>
          <w:sz w:val="22"/>
          <w:szCs w:val="22"/>
        </w:rPr>
        <w:t xml:space="preserve">Remove “recharge-shaped” → it becomes broadband.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CRITICAL</w:t>
            </w:r>
          </w:p>
          <w:p>
            <w:pPr>
              <w:spacing w:after="40" w:before="40" w:line="300"/>
            </w:pPr>
            <w:r>
              <w:rPr>
                <w:rFonts w:ascii="Calibri" w:cs="Calibri" w:eastAsia="Calibri" w:hAnsi="Calibri"/>
                <w:color w:val="222222"/>
                <w:sz w:val="22"/>
                <w:szCs w:val="22"/>
              </w:rPr>
              <w:t xml:space="preserve">Recharge-flexibility alone is exactly what mobile data offers — so leading on flexibility without the household anchor invites the most dangerous misunderstanding (“is this a mobile-data product?”). The “ghar” anchor is what makes our recharge-shape different from a mobile top-up. Never drop it.</w:t>
            </w:r>
          </w:p>
        </w:tc>
      </w:tr>
    </w:tbl>
    <w:p>
      <w:pPr>
        <w:pStyle w:val="Heading1"/>
        <w:spacing w:after="200" w:before="360"/>
      </w:pPr>
      <w:r>
        <w:rPr>
          <w:rFonts w:ascii="Calibri" w:cs="Calibri" w:eastAsia="Calibri" w:hAnsi="Calibri"/>
          <w:b/>
          <w:bCs/>
          <w:color w:val="443152"/>
          <w:sz w:val="34"/>
          <w:szCs w:val="34"/>
        </w:rPr>
        <w:t xml:space="preserve">§6 — What performance marketing must NEVER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NEVER</w:t>
            </w:r>
          </w:p>
          <w:p>
            <w:pPr>
              <w:spacing w:after="40" w:before="40" w:line="300"/>
            </w:pPr>
            <w:r>
              <w:rPr>
                <w:rFonts w:ascii="Calibri" w:cs="Calibri" w:eastAsia="Calibri" w:hAnsi="Calibri"/>
                <w:color w:val="222222"/>
                <w:sz w:val="22"/>
                <w:szCs w:val="22"/>
              </w:rPr>
              <w:t xml:space="preserve">A. Never optimize pure booking volume. Recharge quality is part of the objective.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NEVER</w:t>
            </w:r>
          </w:p>
          <w:p>
            <w:pPr>
              <w:spacing w:after="40" w:before="40" w:line="300"/>
            </w:pPr>
            <w:r>
              <w:rPr>
                <w:rFonts w:ascii="Calibri" w:cs="Calibri" w:eastAsia="Calibri" w:hAnsi="Calibri"/>
                <w:color w:val="222222"/>
                <w:sz w:val="22"/>
                <w:szCs w:val="22"/>
              </w:rPr>
              <w:t xml:space="preserve">B. Never let WiFi become the dominant identity. Users may say WiFi; Wiom does not declare itself as WiFi.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NEVER</w:t>
            </w:r>
          </w:p>
          <w:p>
            <w:pPr>
              <w:spacing w:after="40" w:before="40" w:line="300"/>
            </w:pPr>
            <w:r>
              <w:rPr>
                <w:rFonts w:ascii="Calibri" w:cs="Calibri" w:eastAsia="Calibri" w:hAnsi="Calibri"/>
                <w:color w:val="222222"/>
                <w:sz w:val="22"/>
                <w:szCs w:val="22"/>
              </w:rPr>
              <w:t xml:space="preserve">C. Never create unsupported demand. No demand in non-capacity-ready zones.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NEVER</w:t>
            </w:r>
          </w:p>
          <w:p>
            <w:pPr>
              <w:spacing w:after="40" w:before="40" w:line="300"/>
            </w:pPr>
            <w:r>
              <w:rPr>
                <w:rFonts w:ascii="Calibri" w:cs="Calibri" w:eastAsia="Calibri" w:hAnsi="Calibri"/>
                <w:color w:val="222222"/>
                <w:sz w:val="22"/>
                <w:szCs w:val="22"/>
              </w:rPr>
              <w:t xml:space="preserve">D. Never push users faster than comprehension. Understanding must precede booking.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NEVER</w:t>
            </w:r>
          </w:p>
          <w:p>
            <w:pPr>
              <w:spacing w:after="40" w:before="40" w:line="300"/>
            </w:pPr>
            <w:r>
              <w:rPr>
                <w:rFonts w:ascii="Calibri" w:cs="Calibri" w:eastAsia="Calibri" w:hAnsi="Calibri"/>
                <w:color w:val="222222"/>
                <w:sz w:val="22"/>
                <w:szCs w:val="22"/>
              </w:rPr>
              <w:t xml:space="preserve">E. Never allow CSPs to become demand creators. CSPs convert demand; they do not manufacture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NEVER</w:t>
            </w:r>
          </w:p>
          <w:p>
            <w:pPr>
              <w:spacing w:after="40" w:before="40" w:line="300"/>
            </w:pPr>
            <w:r>
              <w:rPr>
                <w:rFonts w:ascii="Calibri" w:cs="Calibri" w:eastAsia="Calibri" w:hAnsi="Calibri"/>
                <w:color w:val="222222"/>
                <w:sz w:val="22"/>
                <w:szCs w:val="22"/>
              </w:rPr>
              <w:t xml:space="preserve">F. Never drift into telecom advertising. No speed wars, OTT bundles, fiber obsession, “best broadband” framing, or cheapness-only messaging.</w:t>
            </w:r>
          </w:p>
        </w:tc>
      </w:tr>
    </w:tbl>
    <w:p>
      <w:pPr>
        <w:pStyle w:val="Heading1"/>
        <w:spacing w:after="200" w:before="360"/>
      </w:pPr>
      <w:r>
        <w:rPr>
          <w:rFonts w:ascii="Calibri" w:cs="Calibri" w:eastAsia="Calibri" w:hAnsi="Calibri"/>
          <w:b/>
          <w:bCs/>
          <w:color w:val="443152"/>
          <w:sz w:val="34"/>
          <w:szCs w:val="34"/>
        </w:rPr>
        <w:t xml:space="preserve">§7 — What we double down on</w:t>
      </w:r>
    </w:p>
    <w:p>
      <w:pPr>
        <w:pStyle w:val="Heading2"/>
        <w:spacing w:after="140" w:before="280"/>
      </w:pPr>
      <w:r>
        <w:rPr>
          <w:rFonts w:ascii="Calibri" w:cs="Calibri" w:eastAsia="Calibri" w:hAnsi="Calibri"/>
          <w:b/>
          <w:bCs/>
          <w:color w:val="443152"/>
          <w:sz w:val="27"/>
          <w:szCs w:val="27"/>
        </w:rPr>
        <w:t xml:space="preserve">A. Constraint-first creative</w:t>
      </w:r>
    </w:p>
    <w:p>
      <w:pPr>
        <w:spacing w:after="100" w:before="100" w:line="320"/>
      </w:pPr>
      <w:r>
        <w:rPr>
          <w:rFonts w:ascii="Calibri" w:cs="Calibri" w:eastAsia="Calibri" w:hAnsi="Calibri"/>
          <w:color w:val="222222"/>
          <w:sz w:val="22"/>
          <w:szCs w:val="22"/>
        </w:rPr>
        <w:t xml:space="preserve">Our strongest validated learning. Open from the user’s constraint — hotspot frustration, monthly-commitment pain, top-up fatigue, household simultaneity, salary-delay reality — not from product features.</w:t>
      </w:r>
    </w:p>
    <w:p>
      <w:pPr>
        <w:pStyle w:val="Heading2"/>
        <w:spacing w:after="140" w:before="280"/>
      </w:pPr>
      <w:r>
        <w:rPr>
          <w:rFonts w:ascii="Calibri" w:cs="Calibri" w:eastAsia="Calibri" w:hAnsi="Calibri"/>
          <w:b/>
          <w:bCs/>
          <w:color w:val="443152"/>
          <w:sz w:val="27"/>
          <w:szCs w:val="27"/>
        </w:rPr>
        <w:t xml:space="preserve">B. Vox pop / local proof</w:t>
      </w:r>
    </w:p>
    <w:p>
      <w:pPr>
        <w:spacing w:after="100" w:before="100" w:line="320"/>
      </w:pPr>
      <w:r>
        <w:rPr>
          <w:rFonts w:ascii="Calibri" w:cs="Calibri" w:eastAsia="Calibri" w:hAnsi="Calibri"/>
          <w:color w:val="222222"/>
          <w:sz w:val="22"/>
          <w:szCs w:val="22"/>
        </w:rPr>
        <w:t xml:space="preserve">Aligns deeply with user-as-hero, Bharat trust patterns, social legitimacy, and mohalla normalization. We are building distributed household storytelling — real, recognizable people, not polished production.</w:t>
      </w:r>
    </w:p>
    <w:p>
      <w:pPr>
        <w:pStyle w:val="Heading2"/>
        <w:spacing w:after="140" w:before="280"/>
      </w:pPr>
      <w:r>
        <w:rPr>
          <w:rFonts w:ascii="Calibri" w:cs="Calibri" w:eastAsia="Calibri" w:hAnsi="Calibri"/>
          <w:b/>
          <w:bCs/>
          <w:color w:val="443152"/>
          <w:sz w:val="27"/>
          <w:szCs w:val="27"/>
        </w:rPr>
        <w:t xml:space="preserve">C. Local creators</w:t>
      </w:r>
    </w:p>
    <w:p>
      <w:pPr>
        <w:spacing w:after="100" w:before="100" w:line="320"/>
      </w:pPr>
      <w:r>
        <w:rPr>
          <w:rFonts w:ascii="Calibri" w:cs="Calibri" w:eastAsia="Calibri" w:hAnsi="Calibri"/>
          <w:color w:val="222222"/>
          <w:sz w:val="22"/>
          <w:szCs w:val="22"/>
        </w:rPr>
        <w:t xml:space="preserve">Creator marketing with trust carriers, not reach carriers. Prefer students, mothers, tuition teachers, local families, mohalla personalities, small-town creators — people the viewer accepts as “like me” — over celebrity or aspirational creators, which reinforce the very social myth we are breaking.</w:t>
      </w:r>
    </w:p>
    <w:p>
      <w:pPr>
        <w:pStyle w:val="Heading2"/>
        <w:spacing w:after="140" w:before="280"/>
      </w:pPr>
      <w:r>
        <w:rPr>
          <w:rFonts w:ascii="Calibri" w:cs="Calibri" w:eastAsia="Calibri" w:hAnsi="Calibri"/>
          <w:b/>
          <w:bCs/>
          <w:color w:val="443152"/>
          <w:sz w:val="27"/>
          <w:szCs w:val="27"/>
        </w:rPr>
        <w:t xml:space="preserve">D. Rule visibility</w:t>
      </w:r>
    </w:p>
    <w:p>
      <w:pPr>
        <w:spacing w:after="100" w:before="100" w:line="320"/>
      </w:pPr>
      <w:r>
        <w:rPr>
          <w:rFonts w:ascii="Calibri" w:cs="Calibri" w:eastAsia="Calibri" w:hAnsi="Calibri"/>
          <w:color w:val="222222"/>
          <w:sz w:val="22"/>
          <w:szCs w:val="22"/>
        </w:rPr>
        <w:t xml:space="preserve">The operating rule must appear clearly and early: Jitne din recharge, utne din net. Earlier work sometimes buried the rule too deep.</w:t>
      </w:r>
    </w:p>
    <w:p>
      <w:pPr>
        <w:pStyle w:val="Heading2"/>
        <w:spacing w:after="140" w:before="280"/>
      </w:pPr>
      <w:r>
        <w:rPr>
          <w:rFonts w:ascii="Calibri" w:cs="Calibri" w:eastAsia="Calibri" w:hAnsi="Calibri"/>
          <w:b/>
          <w:bCs/>
          <w:color w:val="443152"/>
          <w:sz w:val="27"/>
          <w:szCs w:val="27"/>
        </w:rPr>
        <w:t xml:space="preserve">E. Household framing</w:t>
      </w:r>
    </w:p>
    <w:p>
      <w:pPr>
        <w:spacing w:after="100" w:before="100" w:line="320"/>
      </w:pPr>
      <w:r>
        <w:rPr>
          <w:rFonts w:ascii="Calibri" w:cs="Calibri" w:eastAsia="Calibri" w:hAnsi="Calibri"/>
          <w:color w:val="222222"/>
          <w:sz w:val="22"/>
          <w:szCs w:val="22"/>
        </w:rPr>
        <w:t xml:space="preserve">The “ghar” anchor is critical. Recharge alone risks mobile-data confusion; WiFi alone risks broadband comparison. Always anchor to the whole home.</w:t>
      </w:r>
    </w:p>
    <w:p>
      <w:pPr>
        <w:pStyle w:val="Heading1"/>
        <w:spacing w:after="200" w:before="360"/>
      </w:pPr>
      <w:r>
        <w:rPr>
          <w:rFonts w:ascii="Calibri" w:cs="Calibri" w:eastAsia="Calibri" w:hAnsi="Calibri"/>
          <w:b/>
          <w:bCs/>
          <w:color w:val="443152"/>
          <w:sz w:val="34"/>
          <w:szCs w:val="34"/>
        </w:rPr>
        <w:t xml:space="preserve">§8 — Immediate team exercises</w:t>
      </w:r>
    </w:p>
    <w:p>
      <w:pPr>
        <w:spacing w:after="100" w:before="100" w:line="320"/>
      </w:pPr>
      <w:r>
        <w:rPr>
          <w:rFonts w:ascii="Calibri" w:cs="Calibri" w:eastAsia="Calibri" w:hAnsi="Calibri"/>
          <w:color w:val="222222"/>
          <w:sz w:val="22"/>
          <w:szCs w:val="22"/>
        </w:rPr>
        <w:t xml:space="preserve">Start with Exercises 1–4 this week. Exercise 5 is owned by Guneet and will arrive separately — do not wait on it.</w:t>
      </w:r>
    </w:p>
    <w:p>
      <w:pPr>
        <w:pStyle w:val="Heading2"/>
        <w:spacing w:after="140" w:before="280"/>
      </w:pPr>
      <w:r>
        <w:rPr>
          <w:rFonts w:ascii="Calibri" w:cs="Calibri" w:eastAsia="Calibri" w:hAnsi="Calibri"/>
          <w:b/>
          <w:bCs/>
          <w:color w:val="443152"/>
          <w:sz w:val="27"/>
          <w:szCs w:val="27"/>
        </w:rPr>
        <w:t xml:space="preserve">Exercise 1 — “Say WiFi without saying WiFi”</w:t>
      </w:r>
    </w:p>
    <w:p>
      <w:pPr>
        <w:spacing w:after="100" w:before="100" w:line="320"/>
      </w:pPr>
      <w:r>
        <w:rPr>
          <w:rFonts w:ascii="Calibri" w:cs="Calibri" w:eastAsia="Calibri" w:hAnsi="Calibri"/>
          <w:color w:val="222222"/>
          <w:sz w:val="22"/>
          <w:szCs w:val="22"/>
        </w:rPr>
        <w:t xml:space="preserve">Not 10 synonyms for WiFi. The exercise is: what user need is hidden behind the word “WiFi”? Examples: poore ghar ka net, hotspot se chutkaara, sab ek saath, ghar ke kaam ka net, bina rukawat ka net, ek phone pe dependent na rehna. Goal: inherit the need behind WiFi without inheriting the broadband frame.</w:t>
      </w:r>
    </w:p>
    <w:p>
      <w:pPr>
        <w:pStyle w:val="Heading2"/>
        <w:spacing w:after="140" w:before="280"/>
      </w:pPr>
      <w:r>
        <w:rPr>
          <w:rFonts w:ascii="Calibri" w:cs="Calibri" w:eastAsia="Calibri" w:hAnsi="Calibri"/>
          <w:b/>
          <w:bCs/>
          <w:color w:val="443152"/>
          <w:sz w:val="27"/>
          <w:szCs w:val="27"/>
        </w:rPr>
        <w:t xml:space="preserve">Exercise 2 — Constraint-first rewrites</w:t>
      </w:r>
    </w:p>
    <w:p>
      <w:pPr>
        <w:spacing w:after="100" w:before="100" w:line="320"/>
      </w:pPr>
      <w:r>
        <w:rPr>
          <w:rFonts w:ascii="Calibri" w:cs="Calibri" w:eastAsia="Calibri" w:hAnsi="Calibri"/>
          <w:color w:val="222222"/>
          <w:sz w:val="22"/>
          <w:szCs w:val="22"/>
        </w:rPr>
        <w:t xml:space="preserve">Take every existing ad and rewrite it to open with the user’s constraint, not the product feature. Wrong: “Flexible recharge.” Better: “Poore mahine ka bill ek saath kyun?”</w:t>
      </w:r>
    </w:p>
    <w:p>
      <w:pPr>
        <w:pStyle w:val="Heading2"/>
        <w:spacing w:after="140" w:before="280"/>
      </w:pPr>
      <w:r>
        <w:rPr>
          <w:rFonts w:ascii="Calibri" w:cs="Calibri" w:eastAsia="Calibri" w:hAnsi="Calibri"/>
          <w:b/>
          <w:bCs/>
          <w:color w:val="443152"/>
          <w:sz w:val="27"/>
          <w:szCs w:val="27"/>
        </w:rPr>
        <w:t xml:space="preserve">Exercise 3 — Hero audit</w:t>
      </w:r>
    </w:p>
    <w:p>
      <w:pPr>
        <w:spacing w:after="100" w:before="100" w:line="320"/>
      </w:pPr>
      <w:r>
        <w:rPr>
          <w:rFonts w:ascii="Calibri" w:cs="Calibri" w:eastAsia="Calibri" w:hAnsi="Calibri"/>
          <w:color w:val="222222"/>
          <w:sz w:val="22"/>
          <w:szCs w:val="22"/>
        </w:rPr>
        <w:t xml:space="preserve">For every ad, ask: who is emotionally central — the user, the family, or the product? If the product is the hero, rewrite.</w:t>
      </w:r>
    </w:p>
    <w:p>
      <w:pPr>
        <w:pStyle w:val="Heading2"/>
        <w:spacing w:after="140" w:before="280"/>
      </w:pPr>
      <w:r>
        <w:rPr>
          <w:rFonts w:ascii="Calibri" w:cs="Calibri" w:eastAsia="Calibri" w:hAnsi="Calibri"/>
          <w:b/>
          <w:bCs/>
          <w:color w:val="443152"/>
          <w:sz w:val="27"/>
          <w:szCs w:val="27"/>
        </w:rPr>
        <w:t xml:space="preserve">Exercise 4 — Category contamination audit</w:t>
      </w:r>
    </w:p>
    <w:p>
      <w:pPr>
        <w:spacing w:after="100" w:before="100" w:line="320"/>
      </w:pPr>
      <w:r>
        <w:rPr>
          <w:rFonts w:ascii="Calibri" w:cs="Calibri" w:eastAsia="Calibri" w:hAnsi="Calibri"/>
          <w:color w:val="222222"/>
          <w:sz w:val="22"/>
          <w:szCs w:val="22"/>
        </w:rPr>
        <w:t xml:space="preserve">Review every surface a user touches: Play Store, website, onboarding, WhatsApp, CC scripts, creator briefs, landing pages. For each, ask: does this drift toward cheap WiFi, broadband comparison, mobile-data confusion, or telecom language? Fix the highest-traffic surfaces first.</w:t>
      </w:r>
    </w:p>
    <w:p>
      <w:pPr>
        <w:pStyle w:val="Heading2"/>
        <w:spacing w:after="140" w:before="280"/>
      </w:pPr>
      <w:r>
        <w:rPr>
          <w:rFonts w:ascii="Calibri" w:cs="Calibri" w:eastAsia="Calibri" w:hAnsi="Calibri"/>
          <w:b/>
          <w:bCs/>
          <w:color w:val="443152"/>
          <w:sz w:val="27"/>
          <w:szCs w:val="27"/>
        </w:rPr>
        <w:t xml:space="preserve">Exercise 5 — Creative selection (owned by Guneet)</w:t>
      </w:r>
    </w:p>
    <w:p>
      <w:pPr>
        <w:spacing w:after="100" w:before="100" w:line="320"/>
      </w:pPr>
      <w:r>
        <w:rPr>
          <w:rFonts w:ascii="Calibri" w:cs="Calibri" w:eastAsia="Calibri" w:hAnsi="Calibri"/>
          <w:color w:val="222222"/>
          <w:sz w:val="22"/>
          <w:szCs w:val="22"/>
        </w:rPr>
        <w:t xml:space="preserve">How we systematically tag, evaluate, reject, and scale creative will be governed by a separate Performance Creative Framework that Guneet rolls out once it is finalized. You do not need it to start. For now, focus on Exercises 1–4 and on shipping activation creative that honors the principles in this doc.</w:t>
      </w:r>
    </w:p>
    <w:p>
      <w:pPr>
        <w:pStyle w:val="Heading1"/>
        <w:spacing w:after="200" w:before="360"/>
      </w:pPr>
      <w:r>
        <w:rPr>
          <w:rFonts w:ascii="Calibri" w:cs="Calibri" w:eastAsia="Calibri" w:hAnsi="Calibri"/>
          <w:b/>
          <w:bCs/>
          <w:color w:val="443152"/>
          <w:sz w:val="34"/>
          <w:szCs w:val="34"/>
        </w:rPr>
        <w:t xml:space="preserve">§9 — Structure: Activation → Landing →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7" w:sz="4"/>
              <w:left w:val="single" w:color="5A6B80" w:sz="24"/>
              <w:bottom w:val="single" w:color="EEF2F7" w:sz="4"/>
              <w:right w:val="single" w:color="EEF2F7" w:sz="4"/>
            </w:tcBorders>
            <w:shd w:fill="EEF2F7" w:val="clear"/>
            <w:tcMar>
              <w:top w:type="dxa" w:w="120"/>
              <w:left w:type="dxa" w:w="220"/>
              <w:bottom w:type="dxa" w:w="120"/>
              <w:right w:type="dxa" w:w="200"/>
            </w:tcMar>
          </w:tcPr>
          <w:p>
            <w:pPr>
              <w:spacing w:after="60" w:before="40"/>
            </w:pPr>
            <w:r>
              <w:rPr>
                <w:rFonts w:ascii="Calibri" w:cs="Calibri" w:eastAsia="Calibri" w:hAnsi="Calibri"/>
                <w:b/>
                <w:bCs/>
                <w:color w:val="5A6B80"/>
                <w:sz w:val="18"/>
                <w:szCs w:val="18"/>
              </w:rPr>
              <w:t xml:space="preserve">NOTE</w:t>
            </w:r>
          </w:p>
          <w:p>
            <w:pPr>
              <w:spacing w:after="40" w:before="40" w:line="300"/>
            </w:pPr>
            <w:r>
              <w:rPr>
                <w:rFonts w:ascii="Calibri" w:cs="Calibri" w:eastAsia="Calibri" w:hAnsi="Calibri"/>
                <w:color w:val="222222"/>
                <w:sz w:val="22"/>
                <w:szCs w:val="22"/>
              </w:rPr>
              <w:t xml:space="preserve">Top-of-funnel is out of scope for this team. Category-building — meaning, belief shifts, social legitimacy — is owned by the upper-funnel / brand function. Performance marketing begins at Activation. The three stages below are yours.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Stage</w:t>
            </w:r>
          </w:p>
        </w:tc>
        <w:tc>
          <w:tcPr>
            <w:tcW w:type="dxa" w:w="26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Job</w:t>
            </w:r>
          </w:p>
        </w:tc>
        <w:tc>
          <w:tcPr>
            <w:tcW w:type="dxa" w:w="486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What it must do</w:t>
            </w:r>
          </w:p>
        </w:tc>
      </w:tr>
      <w:tr>
        <w:tc>
          <w:tcPr>
            <w:tcW w:type="dxa" w:w="19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Activation</w:t>
            </w:r>
          </w:p>
        </w:tc>
        <w:tc>
          <w:tcPr>
            <w:tcW w:type="dxa" w:w="26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Capture active intent</w:t>
            </w:r>
          </w:p>
        </w:tc>
        <w:tc>
          <w:tcPr>
            <w:tcW w:type="dxa" w:w="48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Commitment-break framing, household tension, recharge-shaped relief. Capture at the market’s words.</w:t>
            </w:r>
          </w:p>
        </w:tc>
      </w:tr>
      <w:tr>
        <w:tc>
          <w:tcPr>
            <w:tcW w:type="dxa" w:w="19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Landing</w:t>
            </w:r>
          </w:p>
        </w:tc>
        <w:tc>
          <w:tcPr>
            <w:tcW w:type="dxa" w:w="26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Re-anchor</w:t>
            </w:r>
          </w:p>
        </w:tc>
        <w:tc>
          <w:tcPr>
            <w:tcW w:type="dxa" w:w="486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Aggressively re-anchor into Recharge-wala Ghar ka Net — ghar + recharge-shape, above the fold.</w:t>
            </w:r>
          </w:p>
        </w:tc>
      </w:tr>
      <w:tr>
        <w:tc>
          <w:tcPr>
            <w:tcW w:type="dxa" w:w="19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Measurement</w:t>
            </w:r>
          </w:p>
        </w:tc>
        <w:tc>
          <w:tcPr>
            <w:tcW w:type="dxa" w:w="26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Protect quality</w:t>
            </w:r>
          </w:p>
        </w:tc>
        <w:tc>
          <w:tcPr>
            <w:tcW w:type="dxa" w:w="48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Track cohorts separately; scale only on recharge quality (see below).</w:t>
            </w:r>
          </w:p>
        </w:tc>
      </w:tr>
    </w:tbl>
    <w:p>
      <w:pPr>
        <w:spacing w:before="120"/>
      </w:pPr>
      <w:r>
        <w:rPr>
          <w:rFonts w:ascii="Calibri" w:cs="Calibri" w:eastAsia="Calibri" w:hAnsi="Calibri"/>
          <w:color w:val="222222"/>
          <w:sz w:val="22"/>
          <w:szCs w:val="22"/>
        </w:rPr>
        <w:t xml:space="preserve"/>
      </w:r>
    </w:p>
    <w:p>
      <w:pPr>
        <w:pStyle w:val="Heading2"/>
        <w:spacing w:after="140" w:before="280"/>
      </w:pPr>
      <w:r>
        <w:rPr>
          <w:rFonts w:ascii="Calibri" w:cs="Calibri" w:eastAsia="Calibri" w:hAnsi="Calibri"/>
          <w:b/>
          <w:bCs/>
          <w:color w:val="443152"/>
          <w:sz w:val="27"/>
          <w:szCs w:val="27"/>
        </w:rPr>
        <w:t xml:space="preserve">Measurement — track these separately</w:t>
      </w:r>
    </w:p>
    <w:p>
      <w:pPr>
        <w:pStyle w:val="ListParagraph"/>
        <w:numPr>
          <w:ilvl w:val="0"/>
          <w:numId w:val="2"/>
        </w:numPr>
        <w:spacing w:after="60" w:before="60" w:line="320"/>
      </w:pPr>
      <w:r>
        <w:rPr>
          <w:rFonts w:ascii="Calibri" w:cs="Calibri" w:eastAsia="Calibri" w:hAnsi="Calibri"/>
          <w:color w:val="222222"/>
          <w:sz w:val="22"/>
          <w:szCs w:val="22"/>
        </w:rPr>
        <w:t xml:space="preserve">WiFi-captured cohorts vs RWGKN-native cohorts (the contamination check).</w:t>
      </w:r>
    </w:p>
    <w:p>
      <w:pPr>
        <w:pStyle w:val="ListParagraph"/>
        <w:numPr>
          <w:ilvl w:val="0"/>
          <w:numId w:val="2"/>
        </w:numPr>
        <w:spacing w:after="60" w:before="60" w:line="320"/>
      </w:pPr>
      <w:r>
        <w:rPr>
          <w:rFonts w:ascii="Calibri" w:cs="Calibri" w:eastAsia="Calibri" w:hAnsi="Calibri"/>
          <w:color w:val="222222"/>
          <w:sz w:val="22"/>
          <w:szCs w:val="22"/>
        </w:rPr>
        <w:t xml:space="preserve">First recharge; recharge duration; pause / restart behavior.</w:t>
      </w:r>
    </w:p>
    <w:p>
      <w:pPr>
        <w:pStyle w:val="ListParagraph"/>
        <w:numPr>
          <w:ilvl w:val="0"/>
          <w:numId w:val="2"/>
        </w:numPr>
        <w:spacing w:after="60" w:before="60" w:line="320"/>
      </w:pPr>
      <w:r>
        <w:rPr>
          <w:rFonts w:ascii="Calibri" w:cs="Calibri" w:eastAsia="Calibri" w:hAnsi="Calibri"/>
          <w:color w:val="222222"/>
          <w:sz w:val="22"/>
          <w:szCs w:val="22"/>
        </w:rPr>
        <w:t xml:space="preserve">D30 recharge cohort quality.</w:t>
      </w:r>
    </w:p>
    <w:p>
      <w:pPr>
        <w:pStyle w:val="ListParagraph"/>
        <w:numPr>
          <w:ilvl w:val="0"/>
          <w:numId w:val="2"/>
        </w:numPr>
        <w:spacing w:after="60" w:before="60" w:line="320"/>
      </w:pPr>
      <w:r>
        <w:rPr>
          <w:rFonts w:ascii="Calibri" w:cs="Calibri" w:eastAsia="Calibri" w:hAnsi="Calibri"/>
          <w:color w:val="222222"/>
          <w:sz w:val="22"/>
          <w:szCs w:val="22"/>
        </w:rPr>
        <w:t xml:space="preserve">Complaints by acquisition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4"/>
              <w:left w:val="single" w:color="B8860B" w:sz="24"/>
              <w:bottom w:val="single" w:color="FFF7E0" w:sz="4"/>
              <w:right w:val="single" w:color="FFF7E0" w:sz="4"/>
            </w:tcBorders>
            <w:shd w:fill="FFF7E0" w:val="clear"/>
            <w:tcMar>
              <w:top w:type="dxa" w:w="120"/>
              <w:left w:type="dxa" w:w="220"/>
              <w:bottom w:type="dxa" w:w="120"/>
              <w:right w:type="dxa" w:w="200"/>
            </w:tcMar>
          </w:tcPr>
          <w:p>
            <w:pPr>
              <w:spacing w:after="60" w:before="40"/>
            </w:pPr>
            <w:r>
              <w:rPr>
                <w:rFonts w:ascii="Calibri" w:cs="Calibri" w:eastAsia="Calibri" w:hAnsi="Calibri"/>
                <w:b/>
                <w:bCs/>
                <w:color w:val="B8860B"/>
                <w:sz w:val="18"/>
                <w:szCs w:val="18"/>
              </w:rPr>
              <w:t xml:space="preserve">RULE</w:t>
            </w:r>
          </w:p>
          <w:p>
            <w:pPr>
              <w:spacing w:after="40" w:before="40" w:line="300"/>
            </w:pPr>
            <w:r>
              <w:rPr>
                <w:rFonts w:ascii="Calibri" w:cs="Calibri" w:eastAsia="Calibri" w:hAnsi="Calibri"/>
                <w:color w:val="222222"/>
                <w:sz w:val="22"/>
                <w:szCs w:val="22"/>
              </w:rPr>
              <w:t xml:space="preserve">If acquisition quality degrades, scale is invalid. A cheaper cohort that recharges worse is not a win — it is contamination, and it is a reason to throttle, not to scale.</w:t>
            </w:r>
          </w:p>
        </w:tc>
      </w:tr>
    </w:tbl>
    <w:p>
      <w:pPr>
        <w:spacing w:after="100" w:before="100" w:line="320"/>
      </w:pPr>
      <w:r>
        <w:rPr>
          <w:rFonts w:ascii="Calibri" w:cs="Calibri" w:eastAsia="Calibri" w:hAnsi="Calibri"/>
          <w:color w:val="222222"/>
          <w:sz w:val="22"/>
          <w:szCs w:val="22"/>
        </w:rPr>
        <w:t xml:space="preserve">Note: the exact numeric thresholds for scale / iterate / kill are being finalized by Guneet with the data lead as part of the Performance Creative Framework. Until set, these decisions are directional and human-reviewed.</w:t>
      </w:r>
    </w:p>
    <w:p>
      <w:pPr>
        <w:pStyle w:val="Heading1"/>
        <w:spacing w:after="200" w:before="360"/>
      </w:pPr>
      <w:r>
        <w:rPr>
          <w:rFonts w:ascii="Calibri" w:cs="Calibri" w:eastAsia="Calibri" w:hAnsi="Calibri"/>
          <w:b/>
          <w:bCs/>
          <w:color w:val="443152"/>
          <w:sz w:val="34"/>
          <w:szCs w:val="34"/>
        </w:rPr>
        <w:t xml:space="preserve">§10 — Final operating principle</w:t>
      </w:r>
    </w:p>
    <w:p>
      <w:pPr>
        <w:spacing w:after="100" w:before="100" w:line="320"/>
      </w:pPr>
      <w:r>
        <w:rPr>
          <w:rFonts w:ascii="Calibri" w:cs="Calibri" w:eastAsia="Calibri" w:hAnsi="Calibri"/>
          <w:color w:val="222222"/>
          <w:sz w:val="22"/>
          <w:szCs w:val="22"/>
        </w:rPr>
        <w:t xml:space="preserve">We are not trying to become the cheapest WiFi provider. We are trying to build the first widely-adopted recharge-shaped home-internet category for Bharat households.</w:t>
      </w:r>
    </w:p>
    <w:p>
      <w:pPr>
        <w:pBdr>
          <w:left w:val="single" w:color="D9008D" w:sz="18" w:space="12"/>
        </w:pBdr>
        <w:spacing w:after="200" w:before="80" w:line="320"/>
        <w:ind w:left="360"/>
      </w:pPr>
      <w:r>
        <w:rPr>
          <w:rFonts w:ascii="Calibri" w:cs="Calibri" w:eastAsia="Calibri" w:hAnsi="Calibri"/>
          <w:i/>
          <w:iCs/>
          <w:color w:val="222222"/>
          <w:sz w:val="22"/>
          <w:szCs w:val="22"/>
        </w:rPr>
        <w:t xml:space="preserve">Performance marketing should accelerate category adoption — not collapse the category back into broadband.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8"/>
      </w:pBdr>
      <w:jc w:val="center"/>
    </w:pPr>
    <w:r>
      <w:rPr>
        <w:rFonts w:ascii="Calibri" w:cs="Calibri" w:eastAsia="Calibri" w:hAnsi="Calibri"/>
        <w:color w:val="5A6B80"/>
        <w:sz w:val="18"/>
        <w:szCs w:val="18"/>
      </w:rPr>
      <w:t xml:space="preserve">Wiom · Performance Marketing Principles · v0.9 · </w:t>
    </w:r>
    <w:r>
      <w:rPr>
        <w:rFonts w:ascii="Calibri" w:cs="Calibri" w:eastAsia="Calibri" w:hAnsi="Calibri"/>
        <w:color w:val="5A6B80"/>
        <w:sz w:val="18"/>
        <w:szCs w:val="18"/>
      </w:rPr>
      <w:t xml:space="preserve">Page </w:t>
    </w:r>
    <w:r>
      <w:rPr>
        <w:rFonts w:ascii="Calibri" w:cs="Calibri" w:eastAsia="Calibri" w:hAnsi="Calibri"/>
        <w:color w:val="5A6B80"/>
        <w:sz w:val="18"/>
        <w:szCs w:val="18"/>
      </w:rPr>
      <w:fldChar w:fldCharType="begin"/>
      <w:instrText xml:space="preserve">PAGE</w:instrText>
      <w:fldChar w:fldCharType="separate"/>
      <w:fldChar w:fldCharType="end"/>
    </w:r>
    <w:r>
      <w:rPr>
        <w:rFonts w:ascii="Calibri" w:cs="Calibri" w:eastAsia="Calibri" w:hAnsi="Calibri"/>
        <w:color w:val="5A6B80"/>
        <w:sz w:val="18"/>
        <w:szCs w:val="18"/>
      </w:rPr>
      <w:t xml:space="preserve"> of </w:t>
    </w:r>
    <w:r>
      <w:rPr>
        <w:rFonts w:ascii="Calibri" w:cs="Calibri" w:eastAsia="Calibri" w:hAnsi="Calibri"/>
        <w:color w:val="5A6B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280"/>
      </w:pPr>
    </w:lvl>
  </w:abstractNum>
  <w:abstractNum w:abstractNumId="25" w15:restartNumberingAfterBreak="0">
    <w:multiLevelType w:val="hybridMultilevel"/>
    <w:lvl w:ilvl="0" w15:tentative="1">
      <w:start w:val="1"/>
      <w:numFmt w:val="decimal"/>
      <w:lvlText w:val="%1."/>
      <w:lvlJc w:val="left"/>
      <w:pPr>
        <w:ind w:left="540" w:hanging="280"/>
      </w:pPr>
    </w:lvl>
  </w:abstractNum>
  <w:abstractNum w:abstractNumId="26" w15:restartNumberingAfterBreak="0">
    <w:multiLevelType w:val="hybridMultilevel"/>
    <w:lvl w:ilvl="0" w15:tentative="1">
      <w:start w:val="1"/>
      <w:numFmt w:val="decimal"/>
      <w:lvlText w:val="%1."/>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280"/>
      </w:pPr>
    </w:lvl>
  </w:abstractNum>
  <w:abstractNum w:abstractNumId="28" w15:restartNumberingAfterBreak="0">
    <w:multiLevelType w:val="hybridMultilevel"/>
    <w:lvl w:ilvl="0" w15:tentative="1">
      <w:start w:val="1"/>
      <w:numFmt w:val="decimal"/>
      <w:lvlText w:val="%1."/>
      <w:lvlJc w:val="left"/>
      <w:pPr>
        <w:ind w:left="540" w:hanging="280"/>
      </w:pPr>
    </w:lvl>
  </w:abstractNum>
  <w:abstractNum w:abstractNumId="29" w15:restartNumberingAfterBreak="0">
    <w:multiLevelType w:val="hybridMultilevel"/>
    <w:lvl w:ilvl="0" w15:tentative="1">
      <w:start w:val="1"/>
      <w:numFmt w:val="decimal"/>
      <w:lvlText w:val="%1."/>
      <w:lvlJc w:val="left"/>
      <w:pPr>
        <w:ind w:left="540" w:hanging="280"/>
      </w:pPr>
    </w:lvl>
  </w:abstractNum>
  <w:abstractNum w:abstractNumId="30" w15:restartNumberingAfterBreak="0">
    <w:multiLevelType w:val="hybridMultilevel"/>
    <w:lvl w:ilvl="0" w15:tentative="1">
      <w:start w:val="1"/>
      <w:numFmt w:val="decimal"/>
      <w:lvlText w:val="%1."/>
      <w:lvlJc w:val="left"/>
      <w:pPr>
        <w:ind w:left="540" w:hanging="280"/>
      </w:pPr>
    </w:lvl>
  </w:abstractNum>
  <w:abstractNum w:abstractNumId="31" w15:restartNumberingAfterBreak="0">
    <w:multiLevelType w:val="hybridMultilevel"/>
    <w:lvl w:ilvl="0" w15:tentative="1">
      <w:start w:val="1"/>
      <w:numFmt w:val="decimal"/>
      <w:lvlText w:val="%1."/>
      <w:lvlJc w:val="left"/>
      <w:pPr>
        <w:ind w:left="540" w:hanging="280"/>
      </w:pPr>
    </w:lvl>
  </w:abstractNum>
  <w:abstractNum w:abstractNumId="32" w15:restartNumberingAfterBreak="0">
    <w:multiLevelType w:val="hybridMultilevel"/>
    <w:lvl w:ilvl="0" w15:tentative="1">
      <w:start w:val="1"/>
      <w:numFmt w:val="decimal"/>
      <w:lvlText w:val="%1."/>
      <w:lvlJc w:val="left"/>
      <w:pPr>
        <w:ind w:left="540" w:hanging="280"/>
      </w:pPr>
    </w:lvl>
  </w:abstractNum>
  <w:abstractNum w:abstractNumId="33" w15:restartNumberingAfterBreak="0">
    <w:multiLevelType w:val="hybridMultilevel"/>
    <w:lvl w:ilvl="0" w15:tentative="1">
      <w:start w:val="1"/>
      <w:numFmt w:val="decimal"/>
      <w:lvlText w:val="%1."/>
      <w:lvlJc w:val="left"/>
      <w:pPr>
        <w:ind w:left="540" w:hanging="280"/>
      </w:pPr>
    </w:lvl>
  </w:abstractNum>
  <w:abstractNum w:abstractNumId="34" w15:restartNumberingAfterBreak="0">
    <w:multiLevelType w:val="hybridMultilevel"/>
    <w:lvl w:ilvl="0" w15:tentative="1">
      <w:start w:val="1"/>
      <w:numFmt w:val="decimal"/>
      <w:lvlText w:val="%1."/>
      <w:lvlJc w:val="left"/>
      <w:pPr>
        <w:ind w:left="540" w:hanging="280"/>
      </w:pPr>
    </w:lvl>
  </w:abstractNum>
  <w:abstractNum w:abstractNumId="35" w15:restartNumberingAfterBreak="0">
    <w:multiLevelType w:val="hybridMultilevel"/>
    <w:lvl w:ilvl="0" w15:tentative="1">
      <w:start w:val="1"/>
      <w:numFmt w:val="decimal"/>
      <w:lvlText w:val="%1."/>
      <w:lvlJc w:val="left"/>
      <w:pPr>
        <w:ind w:left="540" w:hanging="280"/>
      </w:pPr>
    </w:lvl>
  </w:abstractNum>
  <w:abstractNum w:abstractNumId="36" w15:restartNumberingAfterBreak="0">
    <w:multiLevelType w:val="hybridMultilevel"/>
    <w:lvl w:ilvl="0" w15:tentative="1">
      <w:start w:val="1"/>
      <w:numFmt w:val="decimal"/>
      <w:lvlText w:val="%1."/>
      <w:lvlJc w:val="left"/>
      <w:pPr>
        <w:ind w:left="540" w:hanging="280"/>
      </w:pPr>
    </w:lvl>
  </w:abstractNum>
  <w:abstractNum w:abstractNumId="37" w15:restartNumberingAfterBreak="0">
    <w:multiLevelType w:val="hybridMultilevel"/>
    <w:lvl w:ilvl="0" w15:tentative="1">
      <w:start w:val="1"/>
      <w:numFmt w:val="decimal"/>
      <w:lvlText w:val="%1."/>
      <w:lvlJc w:val="left"/>
      <w:pPr>
        <w:ind w:left="540" w:hanging="280"/>
      </w:pPr>
    </w:lvl>
  </w:abstractNum>
  <w:abstractNum w:abstractNumId="38" w15:restartNumberingAfterBreak="0">
    <w:multiLevelType w:val="hybridMultilevel"/>
    <w:lvl w:ilvl="0" w15:tentative="1">
      <w:start w:val="1"/>
      <w:numFmt w:val="decimal"/>
      <w:lvlText w:val="%1."/>
      <w:lvlJc w:val="left"/>
      <w:pPr>
        <w:ind w:left="540" w:hanging="280"/>
      </w:pPr>
    </w:lvl>
  </w:abstractNum>
  <w:abstractNum w:abstractNumId="39" w15:restartNumberingAfterBreak="0">
    <w:multiLevelType w:val="hybridMultilevel"/>
    <w:lvl w:ilvl="0" w15:tentative="1">
      <w:start w:val="1"/>
      <w:numFmt w:val="decimal"/>
      <w:lvlText w:val="%1."/>
      <w:lvlJc w:val="left"/>
      <w:pPr>
        <w:ind w:left="540" w:hanging="280"/>
      </w:pPr>
    </w:lvl>
  </w:abstractNum>
  <w:abstractNum w:abstractNumId="40" w15:restartNumberingAfterBreak="0">
    <w:multiLevelType w:val="hybridMultilevel"/>
    <w:lvl w:ilvl="0" w15:tentative="1">
      <w:start w:val="1"/>
      <w:numFmt w:val="decimal"/>
      <w:lvlText w:val="%1."/>
      <w:lvlJc w:val="left"/>
      <w:pPr>
        <w:ind w:left="540" w:hanging="280"/>
      </w:pPr>
    </w:lvl>
  </w:abstractNum>
  <w:abstractNum w:abstractNumId="41" w15:restartNumberingAfterBreak="0">
    <w:multiLevelType w:val="hybridMultilevel"/>
    <w:lvl w:ilvl="0" w15:tentative="1">
      <w:start w:val="1"/>
      <w:numFmt w:val="decimal"/>
      <w:lvlText w:val="%1."/>
      <w:lvlJc w:val="left"/>
      <w:pPr>
        <w:ind w:left="540" w:hanging="280"/>
      </w:pPr>
    </w:lvl>
  </w:abstractNum>
  <w:abstractNum w:abstractNumId="4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443152"/>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44315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Marketing — Principles &amp; Next Steps</dc:title>
  <dc:creator>Wiom</dc:creator>
  <cp:lastModifiedBy>Un-named</cp:lastModifiedBy>
  <cp:revision>1</cp:revision>
  <dcterms:created xsi:type="dcterms:W3CDTF">2026-05-21T05:32:52.961Z</dcterms:created>
  <dcterms:modified xsi:type="dcterms:W3CDTF">2026-05-21T05:32:52.961Z</dcterms:modified>
</cp:coreProperties>
</file>

<file path=docProps/custom.xml><?xml version="1.0" encoding="utf-8"?>
<Properties xmlns="http://schemas.openxmlformats.org/officeDocument/2006/custom-properties" xmlns:vt="http://schemas.openxmlformats.org/officeDocument/2006/docPropsVTypes"/>
</file>