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jc w:val="left"/>
      </w:pPr>
      <w:r>
        <w:rPr>
          <w:rFonts w:ascii="Cambria" w:cs="Cambria" w:eastAsia="Cambria" w:hAnsi="Cambria"/>
          <w:b/>
          <w:bCs/>
          <w:color w:val="232F3E"/>
          <w:sz w:val="44"/>
          <w:szCs w:val="44"/>
        </w:rPr>
        <w:t xml:space="preserve">MASSMUTUAL INDEXING SOLUTION</w:t>
      </w:r>
    </w:p>
    <w:p>
      <w:pPr>
        <w:spacing w:before="120"/>
      </w:pPr>
      <w:r>
        <w:rPr>
          <w:rFonts w:ascii="Cambria" w:cs="Cambria" w:eastAsia="Cambria" w:hAnsi="Cambria"/>
          <w:b/>
          <w:bCs/>
          <w:color w:val="FF9900"/>
          <w:sz w:val="32"/>
          <w:szCs w:val="32"/>
        </w:rPr>
        <w:t xml:space="preserve">Functional &amp; Non-Functional Requirements Specification</w:t>
      </w:r>
    </w:p>
    <w:p>
      <w:pPr>
        <w:spacing w:before="300"/>
      </w:pPr>
      <w:r>
        <w:rPr>
          <w:color w:val="5B6B7D"/>
          <w:sz w:val="24"/>
          <w:szCs w:val="24"/>
        </w:rPr>
        <w:t xml:space="preserve">AWS-Native Architecture — Indexing &amp; CCT/EIS Orchestration</w:t>
      </w:r>
    </w:p>
    <w:p>
      <w:pPr>
        <w:pBdr>
          <w:bottom w:val="single" w:color="D9E1EA" w:sz="6"/>
        </w:pBdr>
        <w:spacing w:before="800"/>
      </w:pPr>
      <w:r>
        <w:t xml:space="preserve"/>
      </w:r>
    </w:p>
    <w:p>
      <w:pPr>
        <w:spacing w:before="400"/>
      </w:pPr>
      <w:r>
        <w:rPr>
          <w:b/>
          <w:bCs/>
          <w:sz w:val="21"/>
          <w:szCs w:val="21"/>
        </w:rPr>
        <w:t xml:space="preserve">Document Status:  Draft — For Internal Review</w:t>
      </w:r>
    </w:p>
    <w:p>
      <w:pPr>
        <w:spacing w:before="80"/>
      </w:pPr>
      <w:r>
        <w:rPr>
          <w:sz w:val="21"/>
          <w:szCs w:val="21"/>
        </w:rPr>
        <w:t xml:space="preserve">Version:  0.1</w:t>
      </w:r>
    </w:p>
    <w:p>
      <w:pPr>
        <w:spacing w:before="80"/>
      </w:pPr>
      <w:r>
        <w:rPr>
          <w:sz w:val="21"/>
          <w:szCs w:val="21"/>
        </w:rPr>
        <w:t xml:space="preserve">Date:  August 17, 2026</w:t>
      </w:r>
    </w:p>
    <w:p>
      <w:pPr>
        <w:spacing w:before="80"/>
      </w:pPr>
      <w:r>
        <w:rPr>
          <w:sz w:val="21"/>
          <w:szCs w:val="21"/>
        </w:rPr>
        <w:t xml:space="preserve">Classification:  Confidential — Internal Use Only</w:t>
      </w:r>
    </w:p>
    <w:p>
      <w:pPr>
        <w:spacing w:before="500"/>
      </w:pPr>
      <w:r>
        <w:rPr>
          <w:b/>
          <w:bCs/>
          <w:color w:val="232F3E"/>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Version</w:t>
            </w:r>
          </w:p>
        </w:tc>
        <w:tc>
          <w:tcPr>
            <w:tcW w:type="dxa" w:w="18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Date</w:t>
            </w:r>
          </w:p>
        </w:tc>
        <w:tc>
          <w:tcPr>
            <w:tcW w:type="dxa" w:w="26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Author</w:t>
            </w:r>
          </w:p>
        </w:tc>
        <w:tc>
          <w:tcPr>
            <w:tcW w:type="dxa" w:w="35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Description</w:t>
            </w:r>
          </w:p>
        </w:tc>
      </w:tr>
      <w:tr>
        <w:tc>
          <w:tcPr>
            <w:tcW w:type="dxa" w:w="14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0.1</w:t>
            </w:r>
          </w:p>
        </w:tc>
        <w:tc>
          <w:tcPr>
            <w:tcW w:type="dxa" w:w="18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17-Aug-2026</w:t>
            </w:r>
          </w:p>
        </w:tc>
        <w:tc>
          <w:tcPr>
            <w:tcW w:type="dxa" w:w="26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Solution Architecture Team</w:t>
            </w:r>
          </w:p>
        </w:tc>
        <w:tc>
          <w:tcPr>
            <w:tcW w:type="dxa" w:w="35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Initial draft for internal review</w:t>
            </w:r>
          </w:p>
        </w:tc>
      </w:tr>
    </w:tbl>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p>
      <w:pPr>
        <w:tabs>
          <w:tab w:val="right" w:pos="9360" w:leader="dot"/>
        </w:tabs>
        <w:spacing w:after="160"/>
      </w:pPr>
      <w:r>
        <w:rPr>
          <w:color w:val="232F3E"/>
          <w:sz w:val="22"/>
          <w:szCs w:val="22"/>
        </w:rPr>
        <w:t xml:space="preserve">1. Introduction</w:t>
      </w:r>
      <w:r>
        <w:rPr>
          <w:color w:val="232F3E"/>
          <w:sz w:val="22"/>
          <w:szCs w:val="22"/>
        </w:rPr>
        <w:t xml:space="preserve">	3</w:t>
      </w:r>
    </w:p>
    <w:p>
      <w:pPr>
        <w:tabs>
          <w:tab w:val="right" w:pos="9360" w:leader="dot"/>
        </w:tabs>
        <w:spacing w:after="160"/>
      </w:pPr>
      <w:r>
        <w:rPr>
          <w:color w:val="232F3E"/>
          <w:sz w:val="22"/>
          <w:szCs w:val="22"/>
        </w:rPr>
        <w:t xml:space="preserve">2. Business Context Overview</w:t>
      </w:r>
      <w:r>
        <w:rPr>
          <w:color w:val="232F3E"/>
          <w:sz w:val="22"/>
          <w:szCs w:val="22"/>
        </w:rPr>
        <w:t xml:space="preserve">	3</w:t>
      </w:r>
    </w:p>
    <w:p>
      <w:pPr>
        <w:tabs>
          <w:tab w:val="right" w:pos="9360" w:leader="dot"/>
        </w:tabs>
        <w:spacing w:after="160"/>
      </w:pPr>
      <w:r>
        <w:rPr>
          <w:color w:val="232F3E"/>
          <w:sz w:val="22"/>
          <w:szCs w:val="22"/>
        </w:rPr>
        <w:t xml:space="preserve">3. Functional Requirements</w:t>
      </w:r>
      <w:r>
        <w:rPr>
          <w:color w:val="232F3E"/>
          <w:sz w:val="22"/>
          <w:szCs w:val="22"/>
        </w:rPr>
        <w:t xml:space="preserve">	3</w:t>
      </w:r>
    </w:p>
    <w:p>
      <w:pPr>
        <w:tabs>
          <w:tab w:val="right" w:pos="9360" w:leader="dot"/>
        </w:tabs>
        <w:spacing w:after="160"/>
      </w:pPr>
      <w:r>
        <w:rPr>
          <w:color w:val="232F3E"/>
          <w:sz w:val="22"/>
          <w:szCs w:val="22"/>
        </w:rPr>
        <w:t xml:space="preserve">4. Non-Functional Requirements</w:t>
      </w:r>
      <w:r>
        <w:rPr>
          <w:color w:val="232F3E"/>
          <w:sz w:val="22"/>
          <w:szCs w:val="22"/>
        </w:rPr>
        <w:t xml:space="preserve">	6</w:t>
      </w:r>
    </w:p>
    <w:p>
      <w:pPr>
        <w:tabs>
          <w:tab w:val="right" w:pos="9360" w:leader="dot"/>
        </w:tabs>
        <w:spacing w:after="160"/>
      </w:pPr>
      <w:r>
        <w:rPr>
          <w:color w:val="232F3E"/>
          <w:sz w:val="22"/>
          <w:szCs w:val="22"/>
        </w:rPr>
        <w:t xml:space="preserve">5. Assumptions &amp; Constraints</w:t>
      </w:r>
      <w:r>
        <w:rPr>
          <w:color w:val="232F3E"/>
          <w:sz w:val="22"/>
          <w:szCs w:val="22"/>
        </w:rPr>
        <w:t xml:space="preserve">	7</w:t>
      </w:r>
    </w:p>
    <w:p>
      <w:pPr>
        <w:tabs>
          <w:tab w:val="right" w:pos="9360" w:leader="dot"/>
        </w:tabs>
        <w:spacing w:after="160"/>
      </w:pPr>
      <w:r>
        <w:rPr>
          <w:color w:val="232F3E"/>
          <w:sz w:val="22"/>
          <w:szCs w:val="22"/>
        </w:rPr>
        <w:t xml:space="preserve">6. Out of Scope</w:t>
      </w:r>
      <w:r>
        <w:rPr>
          <w:color w:val="232F3E"/>
          <w:sz w:val="22"/>
          <w:szCs w:val="22"/>
        </w:rPr>
        <w:t xml:space="preserve">	7</w:t>
      </w:r>
    </w:p>
    <w:p>
      <w:pPr>
        <w:tabs>
          <w:tab w:val="right" w:pos="9360" w:leader="dot"/>
        </w:tabs>
        <w:spacing w:after="160"/>
      </w:pPr>
      <w:r>
        <w:rPr>
          <w:color w:val="232F3E"/>
          <w:sz w:val="22"/>
          <w:szCs w:val="22"/>
        </w:rPr>
        <w:t xml:space="preserve">7. Appendix A: Requirements Traceability</w:t>
      </w:r>
      <w:r>
        <w:rPr>
          <w:color w:val="232F3E"/>
          <w:sz w:val="22"/>
          <w:szCs w:val="22"/>
        </w:rPr>
        <w:t xml:space="preserve">	8</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Introduction</w:t>
      </w:r>
    </w:p>
    <w:p>
      <w:pPr>
        <w:pStyle w:val="Heading2"/>
        <w:spacing w:after="120" w:before="240"/>
      </w:pPr>
      <w:r>
        <w:t xml:space="preserve">1.1 Purpose</w:t>
      </w:r>
    </w:p>
    <w:p>
      <w:pPr>
        <w:spacing w:after="160"/>
      </w:pPr>
      <w:r>
        <w:rPr>
          <w:i w:val="false"/>
          <w:iCs w:val="false"/>
          <w:sz w:val="21"/>
          <w:szCs w:val="21"/>
        </w:rPr>
        <w:t xml:space="preserve">This document defines the functional and non-functional requirements for the MassMutual Indexing Solution, revised to run on native AWS services. It consolidates the business process captured during solution design with the technical architecture defined for the AWS-native implementation, and is intended to guide development, testing, and acceptance.</w:t>
      </w:r>
    </w:p>
    <w:p>
      <w:pPr>
        <w:pStyle w:val="Heading2"/>
        <w:spacing w:after="120" w:before="240"/>
      </w:pPr>
      <w:r>
        <w:t xml:space="preserve">1.2 Scope</w:t>
      </w:r>
    </w:p>
    <w:p>
      <w:pPr>
        <w:spacing w:after="160"/>
      </w:pPr>
      <w:r>
        <w:rPr>
          <w:i w:val="false"/>
          <w:iCs w:val="false"/>
          <w:sz w:val="21"/>
          <w:szCs w:val="21"/>
        </w:rPr>
        <w:t xml:space="preserve">This specification covers both orchestration paths of the Indexing Solution:</w:t>
      </w:r>
    </w:p>
    <w:p>
      <w:pPr>
        <w:pStyle w:val="ListParagraph"/>
        <w:numPr>
          <w:ilvl w:val="0"/>
          <w:numId w:val="2"/>
        </w:numPr>
        <w:spacing w:after="80"/>
      </w:pPr>
      <w:r>
        <w:rPr>
          <w:sz w:val="21"/>
          <w:szCs w:val="21"/>
        </w:rPr>
        <w:t xml:space="preserve">The automated Indexing Orchestration path — mailbox intake, storage, IDP classification and extraction, persistence, and OpsHive task creation, including the Human-in-the-Loop (HITL) exception path.</w:t>
      </w:r>
    </w:p>
    <w:p>
      <w:pPr>
        <w:pStyle w:val="ListParagraph"/>
        <w:numPr>
          <w:ilvl w:val="0"/>
          <w:numId w:val="2"/>
        </w:numPr>
        <w:spacing w:after="80"/>
      </w:pPr>
      <w:r>
        <w:rPr>
          <w:sz w:val="21"/>
          <w:szCs w:val="21"/>
        </w:rPr>
        <w:t xml:space="preserve">The CCT / EIS Orchestration path — manual intake by the CCT Team, entity lookup against Group/Policy/Certificate/Claim records, EIS lookup, FileNet E-Folder enrichment, and conditional email notification.</w:t>
      </w:r>
    </w:p>
    <w:p>
      <w:pPr>
        <w:pStyle w:val="ListParagraph"/>
        <w:numPr>
          <w:ilvl w:val="0"/>
          <w:numId w:val="2"/>
        </w:numPr>
        <w:spacing w:after="80"/>
      </w:pPr>
      <w:r>
        <w:rPr>
          <w:sz w:val="21"/>
          <w:szCs w:val="21"/>
        </w:rPr>
        <w:t xml:space="preserve">The cross-cutting AWS platform capabilities (queueing, auditing, monitoring, access control, and encryption) that both paths depend on.</w:t>
      </w:r>
    </w:p>
    <w:p>
      <w:pPr>
        <w:pStyle w:val="Heading2"/>
        <w:spacing w:after="120" w:before="240"/>
      </w:pPr>
      <w:r>
        <w:t xml:space="preserve">1.3 References</w:t>
      </w:r>
    </w:p>
    <w:p>
      <w:pPr>
        <w:pStyle w:val="ListParagraph"/>
        <w:numPr>
          <w:ilvl w:val="0"/>
          <w:numId w:val="2"/>
        </w:numPr>
        <w:spacing w:after="80"/>
      </w:pPr>
      <w:r>
        <w:rPr>
          <w:sz w:val="21"/>
          <w:szCs w:val="21"/>
        </w:rPr>
        <w:t xml:space="preserve">MassMutual Indexing Solution — Low-Level System Architecture (AWS), revised flow diagram.</w:t>
      </w:r>
    </w:p>
    <w:p>
      <w:pPr>
        <w:pStyle w:val="ListParagraph"/>
        <w:numPr>
          <w:ilvl w:val="0"/>
          <w:numId w:val="2"/>
        </w:numPr>
        <w:spacing w:after="80"/>
      </w:pPr>
      <w:r>
        <w:rPr>
          <w:sz w:val="21"/>
          <w:szCs w:val="21"/>
        </w:rPr>
        <w:t xml:space="preserve">Prior-state indexing solution architecture (pre-AWS migration), used as the baseline for scope comparison.</w:t>
      </w:r>
    </w:p>
    <w:p>
      <w:pPr>
        <w:pStyle w:val="Heading1"/>
        <w:spacing w:after="160" w:before="320"/>
      </w:pPr>
      <w:r>
        <w:t xml:space="preserve">2. Business Context Overview</w:t>
      </w:r>
    </w:p>
    <w:p>
      <w:pPr>
        <w:spacing w:after="160"/>
      </w:pPr>
      <w:r>
        <w:rPr>
          <w:i w:val="false"/>
          <w:iCs w:val="false"/>
          <w:sz w:val="21"/>
          <w:szCs w:val="21"/>
        </w:rPr>
        <w:t xml:space="preserve">The Indexing Solution ingests correspondence and documents relevant to claims, appeals, CAP, PA, and Producer activity, classifies and extracts relevant fields, and persists the results so that a downstream task can be created and tracked in TREX (the document management system of record, covering 87 task types). Where automated extraction confidence is low, a human reviewer validates the case before it re-enters the automated flow. A parallel, largely manual path allows the CCT Team to submit inquiries that are matched to existing Group, Policy, Certificate, or Claim records via a lookup against the EIS (External Enterprise Information System), enriched into FileNet E-Folders, and — where applicable — trigger a notification email.</w:t>
      </w:r>
    </w:p>
    <w:p>
      <w:pPr>
        <w:pStyle w:val="Heading1"/>
        <w:spacing w:after="160" w:before="320"/>
      </w:pPr>
      <w:r>
        <w:t xml:space="preserve">3. Functional Requirements</w:t>
      </w:r>
    </w:p>
    <w:p>
      <w:pPr>
        <w:spacing w:after="160"/>
      </w:pPr>
      <w:r>
        <w:rPr>
          <w:i w:val="false"/>
          <w:iCs w:val="false"/>
          <w:sz w:val="21"/>
          <w:szCs w:val="21"/>
        </w:rPr>
        <w:t xml:space="preserve">Each functional requirement is expressed as “the system shall…” and tied to the architectural component that realizes it, consistent with the low-level architecture diagram.</w:t>
      </w:r>
    </w:p>
    <w:p>
      <w:pPr>
        <w:pStyle w:val="Heading2"/>
        <w:spacing w:after="120" w:before="240"/>
      </w:pPr>
      <w:r>
        <w:t xml:space="preserve">3.1 Document Intake &amp;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FR-01</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automatically pull incoming correspondence from designated mailboxes (Claim, Appeal, CAP, PA, Producer) using Microsoft Graph API, invoked via AWS Lambda and the Kong API Gateway.</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Ingest (Lane 1, Step 1)</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FR-02</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system shall authenticate all mailbox access using OAuth 2.0.</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Ingest / Mailboxes</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FR-03</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store the retrieved email body and attachments as objects in a designated AWS S3 bucket, preserving original file formats.</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Store (Lane 1, Step 2)</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FR-04</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system shall trigger an AWS Lambda function, using AWS Textract, to classify each ingested document and extract relevant fields (IDP).</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Classify &amp; Extract (Lane 1, Step 3)</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FR-05</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support classification of all document/task types currently indexed by TREX (87 task types), and allow new types to be added via configuration.</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Classify &amp; Extract / TREX</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Should</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FR-06</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system shall assign a confidence score to each field extracted through the IDP process and persist that score alongside the extracted value.</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Classify &amp; Extract (IDP)</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bl>
    <w:p>
      <w:pPr>
        <w:pStyle w:val="Heading2"/>
        <w:spacing w:after="120" w:before="240"/>
      </w:pPr>
      <w:r>
        <w:t xml:space="preserve">3.2 Data Persistence &amp; Task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FR-07</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persist all extracted fields to the MassMutual database (DB[MI]) via a SQL connector, using AWS RDS PostgreSQL as the underlying data store.</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Persist (Lane 1, Step 4)</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FR-08</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All persisted data fields shall be encrypted at the storage layer in accordance with SIE encryption standards.</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Persist / DB[MI]</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FR-09</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Upon successful persistence, the system shall automatically create a corresponding task in OpsHive via the Kong API Gateway (REST API).</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Create Task (Lane 1, Step 5)</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FR-10</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system shall push extracted field values back to TREX via REST API to keep the document management record synchronized.</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Create Task ↔ TREX</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FR-11</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support bi-directional updates between the internal workflow and TREX, including creating, updating, and pushing field values to existing tasks.</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Create Task ↔ TREX</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Should</w:t>
            </w:r>
          </w:p>
        </w:tc>
      </w:tr>
    </w:tbl>
    <w:p>
      <w:pPr>
        <w:pStyle w:val="Heading2"/>
        <w:spacing w:after="120" w:before="240"/>
      </w:pPr>
      <w:r>
        <w:t xml:space="preserve">3.3 Human-in-the-Loop (HITL)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FR-12</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route any case in which one or more extracted fields fall below a configurable confidence threshold (default 90%) to a Human-in-the-Loop review queue.</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Classify &amp; Extract → HITL</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FR-13</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system shall present flagged cases to reviewers through a custom, AWS-hosted React-based review interface, showing the source document alongside extracted fields.</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Custom React UI</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FR-14</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Reviewers shall be able to accept, correct, or reject extracted field values through the review UI.</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Custom React UI</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FR-15</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Once a reviewer completes validation, the system shall write the corrected or approved values back into the persistence layer and resume automated processing from the Persist step.</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HITL → Persist (loop-back)</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FR-16</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allow a reviewer to manually add a document directly to TREX in cases where automated persistence is not possible.</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Human-in-the-Loop</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Should</w:t>
            </w:r>
          </w:p>
        </w:tc>
      </w:tr>
    </w:tbl>
    <w:p>
      <w:pPr>
        <w:pStyle w:val="Heading2"/>
        <w:spacing w:after="120" w:before="240"/>
      </w:pPr>
      <w:r>
        <w:t xml:space="preserve">3.4 CCT Manual Intake &amp; EIS Lookup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FR-17</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provide a separate, manually triggered intake path for the CCT Team via a dedicated inquiry mailbox.</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Ingest — manual (Lane 2, Step 1)</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FR-18</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Upon manual intake, the system shall allow the CCT Team to specify a document type and category.</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Ingest — manual</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FR-19</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store manually submitted emails and documents to AWS S3, consistent with the automated intake path.</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Store &amp; Add Doc (Lane 2, Step 2)</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FR-20</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system shall perform a lookup against Group, Policy, Certificate, or Claim records to associate the incoming document with the correct entity.</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Lookup (Lane 2, Step 3)</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FR-21</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query the EIS (External Enterprise Information System) as part of the lookup step, authenticating via OAuth 2.0.</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Lookup ↔ EIS</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FR-22</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system shall index and enrich the associated document within FileNet E-Folders once the lookup is confirmed.</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Index Enrich Doc (Lane 2, Step 4)</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FR-23</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Where indexing metadata indicates “Print = No,” the system shall trigger an automated email notification via AWS SNS; otherwise, no notification shall be sent.</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Email Notify (Lane 2, Step 5)</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bl>
    <w:p>
      <w:pPr>
        <w:pStyle w:val="Heading2"/>
        <w:spacing w:after="120" w:before="240"/>
      </w:pPr>
      <w:r>
        <w:t xml:space="preserve">3.5 Orchestration &amp; Workflow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FR-24</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All ingestion, classification, persistence, and task-creation steps shall be orchestrated as a single AWS Step Functions (Standard) state machine (“Indexing Orchestration”).</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Step Functions — Lane 1</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FR-25</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All CCT/EIS manual-intake steps shall be orchestrated as a separate AWS Step Functions (Standard) state machine (“CCT / EIS Orchestration”).</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Step Functions — Lane 2</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FR-26</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Failed or unprocessable messages in either workflow shall be routed to an AWS SQS Dead-Letter Queue (DLQ) for review and reprocessing.</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SQS / DLQ</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bl>
    <w:p>
      <w:pPr>
        <w:pStyle w:val="Heading2"/>
        <w:spacing w:after="120" w:before="240"/>
      </w:pPr>
      <w:r>
        <w:t xml:space="preserve">3.6 Reporting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FR-27</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record a per-case processing outcome (success/failure, with reason on failure) that is retrievable for QC and reporting purposes.</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Indexing / CCT Orchestration</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FR-28</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system shall maintain a complete, timestamped audit trail of every action taken on a case (ingestion, classification, persistence, review, task creation) via AWS CloudTrail.</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CloudTrail</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FR-29</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system shall expose operational metrics via AWS CloudWatch reflecting queue depth, processing latency, and failure rates.</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CloudWatch</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Should</w:t>
            </w:r>
          </w:p>
        </w:tc>
      </w:tr>
    </w:tbl>
    <w:p>
      <w:pPr>
        <w:pStyle w:val="Heading1"/>
        <w:spacing w:after="160" w:before="320"/>
      </w:pPr>
      <w:r>
        <w:t xml:space="preserve">4. Non-Functional Requirements</w:t>
      </w:r>
    </w:p>
    <w:p>
      <w:pPr>
        <w:pStyle w:val="Heading2"/>
        <w:spacing w:after="120" w:before="240"/>
      </w:pPr>
      <w:r>
        <w:t xml:space="preserve">4.1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NFR-01</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ingestion pipeline shall process a single case (email + attachment) from intake through persistence within an agreed target processing time under normal load. [Target to be confirmed with business.]</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Lane 1 (end-to-end)</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NFR-02</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architecture shall scale elastically to absorb peak daily volumes without manual intervention, leveraging serverless AWS Lambda concurrency.</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Lambda</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NFR-03</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Step Functions state machines shall support parallel execution of multiple in-flight cases without cross-case interference.</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Step Functions</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bl>
    <w:p>
      <w:pPr>
        <w:pStyle w:val="Heading2"/>
        <w:spacing w:after="120" w:before="240"/>
      </w:pPr>
      <w:r>
        <w:t xml:space="preserve">4.2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NFR-04</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solution shall target a minimum of 99.9% monthly availability for all AWS-hosted components (Lambda, Step Functions, S3, RDS).</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platform</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NFR-05</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All inbound messages shall be retried automatically on transient failure, with unresolved failures routed to the SQS DLQ per FR-26.</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SQS / DLQ</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NFR-06</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RDS PostgreSQL shall be configured with automated backups and point-in-time recovery.</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RDS (DB[MI])</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bl>
    <w:p>
      <w:pPr>
        <w:pStyle w:val="Heading2"/>
        <w:spacing w:after="120" w:before="240"/>
      </w:pPr>
      <w:r>
        <w:t xml:space="preserve">4.3 Security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NFR-07</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All service-to-service communication shall use OAuth 2.0, Managed Identity, or Entra ID as appropriate to the source system, with no long-lived static credentials embedded in code.</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All source integrations</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NFR-08</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All data at rest (S3, RDS) shall be encrypted using AWS KMS-managed keys.</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KMS</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NFR-09</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All data in transit shall be encrypted using TLS 1.2 or higher.</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All API / REST integrations</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NFR-10</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Access to AWS resources shall be governed by least-privilege AWS IAM roles and policies, reviewed on a periodic basis.</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IAM</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NFR-11</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custom React-based HITL review UI shall enforce role-based access control, restricting review/edit actions to authorized reviewers only.</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Custom React UI</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bl>
    <w:p>
      <w:pPr>
        <w:pStyle w:val="Heading2"/>
        <w:spacing w:after="120" w:before="240"/>
      </w:pPr>
      <w:r>
        <w:t xml:space="preserve">4.4 Auditability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NFR-12</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All administrative and data-access actions shall be logged via AWS CloudTrail and retained per the organization’s audit retention policy.</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CloudTrail</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NFR-13</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CloudWatch shall provide real-time alerting on processing failures, DLQ growth, and latency threshold breaches.</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CloudWatch</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bl>
    <w:p>
      <w:pPr>
        <w:pStyle w:val="Heading2"/>
        <w:spacing w:after="120" w:before="240"/>
      </w:pPr>
      <w:r>
        <w:t xml:space="preserve">4.5 Data Retention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NFR-14</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Personally identifiable and policy data shall be retained and purged in accordance with MassMutual’s data retention policy and applicable regulatory requirements.</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RDS / S3</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NFR-15</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The solution shall support the data residency requirements applicable to MassMutual’s regulatory jurisdiction(s).</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platform (region config)</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Must</w:t>
            </w:r>
          </w:p>
        </w:tc>
      </w:tr>
    </w:tbl>
    <w:p>
      <w:pPr>
        <w:pStyle w:val="Heading2"/>
        <w:spacing w:after="120" w:before="240"/>
      </w:pPr>
      <w:r>
        <w:t xml:space="preserve">4.6 Maintainability &amp; Extensibility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NFR-16</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two Step Functions state machines shall be independently deployable and versioned, allowing incremental changes without full-system redeployment.</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Step Functions</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Should</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NFR-17</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New document/task types shall be addable to classification and TREX integration through configuration, without changes to core orchestration logic.</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Classify &amp; Extract / TREX</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Should</w:t>
            </w:r>
          </w:p>
        </w:tc>
      </w:tr>
    </w:tbl>
    <w:p>
      <w:pPr>
        <w:pStyle w:val="Heading2"/>
        <w:spacing w:after="120" w:before="240"/>
      </w:pPr>
      <w:r>
        <w:t xml:space="preserve">4.7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450"/>
        <w:gridCol w:w="2060"/>
        <w:gridCol w:w="1000"/>
      </w:tblGrid>
      <w:tr>
        <w:trPr>
          <w:tblHeader/>
        </w:trPr>
        <w:tc>
          <w:tcPr>
            <w:tcW w:type="dxa" w:w="8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ID</w:t>
            </w:r>
          </w:p>
        </w:tc>
        <w:tc>
          <w:tcPr>
            <w:tcW w:type="dxa" w:w="545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Requirement</w:t>
            </w:r>
          </w:p>
        </w:tc>
        <w:tc>
          <w:tcPr>
            <w:tcW w:type="dxa" w:w="20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Component</w:t>
            </w:r>
          </w:p>
        </w:tc>
        <w:tc>
          <w:tcPr>
            <w:tcW w:type="dxa" w:w="10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Priority</w:t>
            </w:r>
          </w:p>
        </w:tc>
      </w:tr>
      <w:tr>
        <w:tc>
          <w:tcPr>
            <w:tcW w:type="dxa" w:w="8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NFR-18</w:t>
            </w:r>
          </w:p>
        </w:tc>
        <w:tc>
          <w:tcPr>
            <w:tcW w:type="dxa" w:w="545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The HITL review UI shall present the original source document alongside extracted fields to allow efficient side-by-side validation.</w:t>
            </w:r>
          </w:p>
        </w:tc>
        <w:tc>
          <w:tcPr>
            <w:tcW w:type="dxa" w:w="20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Custom React UI</w:t>
            </w:r>
          </w:p>
        </w:tc>
        <w:tc>
          <w:tcPr>
            <w:tcW w:type="dxa" w:w="10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Must</w:t>
            </w:r>
          </w:p>
        </w:tc>
      </w:tr>
      <w:tr>
        <w:tc>
          <w:tcPr>
            <w:tcW w:type="dxa" w:w="8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NFR-19</w:t>
            </w:r>
          </w:p>
        </w:tc>
        <w:tc>
          <w:tcPr>
            <w:tcW w:type="dxa" w:w="545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Average reviewer time-per-case in the HITL UI shall not exceed an agreed target. [Target to be confirmed with business.]</w:t>
            </w:r>
          </w:p>
        </w:tc>
        <w:tc>
          <w:tcPr>
            <w:tcW w:type="dxa" w:w="20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Custom React UI</w:t>
            </w:r>
          </w:p>
        </w:tc>
        <w:tc>
          <w:tcPr>
            <w:tcW w:type="dxa" w:w="10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Should</w:t>
            </w:r>
          </w:p>
        </w:tc>
      </w:tr>
    </w:tbl>
    <w:p>
      <w:pPr>
        <w:pStyle w:val="Heading1"/>
        <w:spacing w:after="160" w:before="320"/>
      </w:pPr>
      <w:r>
        <w:t xml:space="preserve">5. Assumptions &amp; Constraints</w:t>
      </w:r>
    </w:p>
    <w:p>
      <w:pPr>
        <w:pStyle w:val="ListParagraph"/>
        <w:numPr>
          <w:ilvl w:val="0"/>
          <w:numId w:val="2"/>
        </w:numPr>
        <w:spacing w:after="80"/>
      </w:pPr>
      <w:r>
        <w:rPr>
          <w:sz w:val="21"/>
          <w:szCs w:val="21"/>
        </w:rPr>
        <w:t xml:space="preserve">TREX remains the system of record for document/task management (87 task types) and is not being replaced by this solution.</w:t>
      </w:r>
    </w:p>
    <w:p>
      <w:pPr>
        <w:pStyle w:val="ListParagraph"/>
        <w:numPr>
          <w:ilvl w:val="0"/>
          <w:numId w:val="2"/>
        </w:numPr>
        <w:spacing w:after="80"/>
      </w:pPr>
      <w:r>
        <w:rPr>
          <w:sz w:val="21"/>
          <w:szCs w:val="21"/>
        </w:rPr>
        <w:t xml:space="preserve">EIS remains an external system accessed via lookup/API; no direct database access to EIS is assumed.</w:t>
      </w:r>
    </w:p>
    <w:p>
      <w:pPr>
        <w:pStyle w:val="ListParagraph"/>
        <w:numPr>
          <w:ilvl w:val="0"/>
          <w:numId w:val="2"/>
        </w:numPr>
        <w:spacing w:after="80"/>
      </w:pPr>
      <w:r>
        <w:rPr>
          <w:sz w:val="21"/>
          <w:szCs w:val="21"/>
        </w:rPr>
        <w:t xml:space="preserve">The confidence-score threshold that triggers Human-in-the-Loop review (default 90%) is a configurable parameter, not a hard-coded constant.</w:t>
      </w:r>
    </w:p>
    <w:p>
      <w:pPr>
        <w:pStyle w:val="ListParagraph"/>
        <w:numPr>
          <w:ilvl w:val="0"/>
          <w:numId w:val="2"/>
        </w:numPr>
        <w:spacing w:after="80"/>
      </w:pPr>
      <w:r>
        <w:rPr>
          <w:sz w:val="21"/>
          <w:szCs w:val="21"/>
        </w:rPr>
        <w:t xml:space="preserve">FileNet E-Folders continues to serve as the enrichment target for the CCT/EIS manual workflow.</w:t>
      </w:r>
    </w:p>
    <w:p>
      <w:pPr>
        <w:pStyle w:val="ListParagraph"/>
        <w:numPr>
          <w:ilvl w:val="0"/>
          <w:numId w:val="2"/>
        </w:numPr>
        <w:spacing w:after="80"/>
      </w:pPr>
      <w:r>
        <w:rPr>
          <w:sz w:val="21"/>
          <w:szCs w:val="21"/>
        </w:rPr>
        <w:t xml:space="preserve">Kong API Gateway is assumed to remain the API management layer for REST integrations to TREX, OpsHive, and EIS.</w:t>
      </w:r>
    </w:p>
    <w:p>
      <w:pPr>
        <w:pStyle w:val="Heading1"/>
        <w:spacing w:after="160" w:before="320"/>
      </w:pPr>
      <w:r>
        <w:t xml:space="preserve">6. Out of Scope</w:t>
      </w:r>
    </w:p>
    <w:p>
      <w:pPr>
        <w:pStyle w:val="ListParagraph"/>
        <w:numPr>
          <w:ilvl w:val="0"/>
          <w:numId w:val="2"/>
        </w:numPr>
        <w:spacing w:after="80"/>
      </w:pPr>
      <w:r>
        <w:rPr>
          <w:sz w:val="21"/>
          <w:szCs w:val="21"/>
        </w:rPr>
        <w:t xml:space="preserve">Replacement or modification of TREX, EIS, or FileNet systems themselves.</w:t>
      </w:r>
    </w:p>
    <w:p>
      <w:pPr>
        <w:pStyle w:val="ListParagraph"/>
        <w:numPr>
          <w:ilvl w:val="0"/>
          <w:numId w:val="2"/>
        </w:numPr>
        <w:spacing w:after="80"/>
      </w:pPr>
      <w:r>
        <w:rPr>
          <w:sz w:val="21"/>
          <w:szCs w:val="21"/>
        </w:rPr>
        <w:t xml:space="preserve">Migration of historical (pre-implementation) case data.</w:t>
      </w:r>
    </w:p>
    <w:p>
      <w:pPr>
        <w:pStyle w:val="ListParagraph"/>
        <w:numPr>
          <w:ilvl w:val="0"/>
          <w:numId w:val="2"/>
        </w:numPr>
        <w:spacing w:after="80"/>
      </w:pPr>
      <w:r>
        <w:rPr>
          <w:sz w:val="21"/>
          <w:szCs w:val="21"/>
        </w:rPr>
        <w:t xml:space="preserve">A mobile-native reviewer application; the HITL review interface is web-based (React) only.</w:t>
      </w:r>
    </w:p>
    <w:p>
      <w:pPr>
        <w:pStyle w:val="ListParagraph"/>
        <w:numPr>
          <w:ilvl w:val="0"/>
          <w:numId w:val="2"/>
        </w:numPr>
        <w:spacing w:after="80"/>
      </w:pPr>
      <w:r>
        <w:rPr>
          <w:sz w:val="21"/>
          <w:szCs w:val="21"/>
        </w:rPr>
        <w:t xml:space="preserve">Automated quality control that fully replaces the Human-in-the-Loop review step (tracked as a potential future enhancement).</w:t>
      </w:r>
    </w:p>
    <w:p>
      <w:pPr>
        <w:pStyle w:val="Heading1"/>
        <w:spacing w:after="160" w:before="320"/>
      </w:pPr>
      <w:r>
        <w:t xml:space="preserve">7. Appendix A: Requirements Traceability — Architecture to AWS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Architecture Area</w:t>
            </w:r>
          </w:p>
        </w:tc>
        <w:tc>
          <w:tcPr>
            <w:tcW w:type="dxa" w:w="31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Primary AWS Service(s)</w:t>
            </w:r>
          </w:p>
        </w:tc>
        <w:tc>
          <w:tcPr>
            <w:tcW w:type="dxa" w:w="3100"/>
            <w:tcBorders>
              <w:top w:val="single" w:color="D9E1EA" w:sz="2"/>
              <w:left w:val="single" w:color="D9E1EA" w:sz="2"/>
              <w:bottom w:val="single" w:color="D9E1EA" w:sz="2"/>
              <w:right w:val="single" w:color="D9E1EA" w:sz="2"/>
            </w:tcBorders>
            <w:shd w:fill="232F3E" w:val="clear"/>
            <w:tcMar>
              <w:top w:type="dxa" w:w="80"/>
              <w:left w:type="dxa" w:w="100"/>
              <w:bottom w:type="dxa" w:w="80"/>
              <w:right w:type="dxa" w:w="100"/>
            </w:tcMar>
            <w:vAlign w:val="center"/>
          </w:tcPr>
          <w:p>
            <w:r>
              <w:rPr>
                <w:b/>
                <w:bCs/>
                <w:color w:val="FFFFFF"/>
                <w:sz w:val="18"/>
                <w:szCs w:val="18"/>
              </w:rPr>
              <w:t xml:space="preserve">Related Requirements</w:t>
            </w:r>
          </w:p>
        </w:tc>
      </w:tr>
      <w:tr>
        <w:tc>
          <w:tcPr>
            <w:tcW w:type="dxa" w:w="31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Mailbox Intake</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Lambda, Kong API (MS Graph)</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FR-01, FR-02, NFR-07</w:t>
            </w:r>
          </w:p>
        </w:tc>
      </w:tr>
      <w:tr>
        <w:tc>
          <w:tcPr>
            <w:tcW w:type="dxa" w:w="31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Object Storage</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Amazon S3</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FR-03, FR-19, NFR-08</w:t>
            </w:r>
          </w:p>
        </w:tc>
      </w:tr>
      <w:tr>
        <w:tc>
          <w:tcPr>
            <w:tcW w:type="dxa" w:w="31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Classification &amp; Extraction</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Lambda, Amazon Textract</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FR-04, FR-05, FR-06</w:t>
            </w:r>
          </w:p>
        </w:tc>
      </w:tr>
      <w:tr>
        <w:tc>
          <w:tcPr>
            <w:tcW w:type="dxa" w:w="31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Persistence</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Lambda, Amazon RDS (PostgreSQL)</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FR-07, FR-08, NFR-06, NFR-08</w:t>
            </w:r>
          </w:p>
        </w:tc>
      </w:tr>
      <w:tr>
        <w:tc>
          <w:tcPr>
            <w:tcW w:type="dxa" w:w="31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Task Creation / TREX Sync</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Lambda, Kong API</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FR-09, FR-10, FR-11</w:t>
            </w:r>
          </w:p>
        </w:tc>
      </w:tr>
      <w:tr>
        <w:tc>
          <w:tcPr>
            <w:tcW w:type="dxa" w:w="31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Human-in-the-Loop Review</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Custom React UI (AWS-hosted)</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FR-12–FR-16, NFR-11, NFR-18, NFR-19</w:t>
            </w:r>
          </w:p>
        </w:tc>
      </w:tr>
      <w:tr>
        <w:tc>
          <w:tcPr>
            <w:tcW w:type="dxa" w:w="31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CCT Manual Intake</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Lambda, Kong API (MS Graph)</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FR-17, FR-18, FR-19</w:t>
            </w:r>
          </w:p>
        </w:tc>
      </w:tr>
      <w:tr>
        <w:tc>
          <w:tcPr>
            <w:tcW w:type="dxa" w:w="31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Entity &amp; EIS Lookup</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Lambda, Kong API, OAuth 2.0</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FR-20, FR-21, NFR-07</w:t>
            </w:r>
          </w:p>
        </w:tc>
      </w:tr>
      <w:tr>
        <w:tc>
          <w:tcPr>
            <w:tcW w:type="dxa" w:w="31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Document Enrichment</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Lambda, FileNet E-Folders</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FR-22</w:t>
            </w:r>
          </w:p>
        </w:tc>
      </w:tr>
      <w:tr>
        <w:tc>
          <w:tcPr>
            <w:tcW w:type="dxa" w:w="31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Notification</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Amazon SNS</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FR-23</w:t>
            </w:r>
          </w:p>
        </w:tc>
      </w:tr>
      <w:tr>
        <w:tc>
          <w:tcPr>
            <w:tcW w:type="dxa" w:w="31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Workflow Orchestration</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Step Functions (Standard)</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FR-24, FR-25, NFR-02, NFR-03</w:t>
            </w:r>
          </w:p>
        </w:tc>
      </w:tr>
      <w:tr>
        <w:tc>
          <w:tcPr>
            <w:tcW w:type="dxa" w:w="31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Queue Management</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Amazon SQS / DLQ</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FR-26, NFR-05</w:t>
            </w:r>
          </w:p>
        </w:tc>
      </w:tr>
      <w:tr>
        <w:tc>
          <w:tcPr>
            <w:tcW w:type="dxa" w:w="31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Auditing</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CloudTrail</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FR-28, NFR-12</w:t>
            </w:r>
          </w:p>
        </w:tc>
      </w:tr>
      <w:tr>
        <w:tc>
          <w:tcPr>
            <w:tcW w:type="dxa" w:w="31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Monitoring</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CloudWatch</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FR-29, NFR-13</w:t>
            </w:r>
          </w:p>
        </w:tc>
      </w:tr>
      <w:tr>
        <w:tc>
          <w:tcPr>
            <w:tcW w:type="dxa" w:w="316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bCs/>
                <w:color w:val="1B2430"/>
                <w:sz w:val="18"/>
                <w:szCs w:val="18"/>
              </w:rPr>
              <w:t xml:space="preserve">Access Control</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AWS IAM</w:t>
            </w:r>
          </w:p>
        </w:tc>
        <w:tc>
          <w:tcPr>
            <w:tcW w:type="dxa" w:w="3100"/>
            <w:tcBorders>
              <w:top w:val="single" w:color="D9E1EA" w:sz="2"/>
              <w:left w:val="single" w:color="D9E1EA" w:sz="2"/>
              <w:bottom w:val="single" w:color="D9E1EA" w:sz="2"/>
              <w:right w:val="single" w:color="D9E1EA" w:sz="2"/>
            </w:tcBorders>
            <w:tcMar>
              <w:top w:type="dxa" w:w="70"/>
              <w:left w:type="dxa" w:w="100"/>
              <w:bottom w:type="dxa" w:w="70"/>
              <w:right w:type="dxa" w:w="100"/>
            </w:tcMar>
            <w:vAlign w:val="center"/>
          </w:tcPr>
          <w:p>
            <w:r>
              <w:rPr>
                <w:b w:val="false"/>
                <w:bCs w:val="false"/>
                <w:color w:val="1B2430"/>
                <w:sz w:val="18"/>
                <w:szCs w:val="18"/>
              </w:rPr>
              <w:t xml:space="preserve">NFR-10</w:t>
            </w:r>
          </w:p>
        </w:tc>
      </w:tr>
      <w:tr>
        <w:tc>
          <w:tcPr>
            <w:tcW w:type="dxa" w:w="316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bCs/>
                <w:color w:val="1B2430"/>
                <w:sz w:val="18"/>
                <w:szCs w:val="18"/>
              </w:rPr>
              <w:t xml:space="preserve">Encryption</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AWS KMS</w:t>
            </w:r>
          </w:p>
        </w:tc>
        <w:tc>
          <w:tcPr>
            <w:tcW w:type="dxa" w:w="3100"/>
            <w:tcBorders>
              <w:top w:val="single" w:color="D9E1EA" w:sz="2"/>
              <w:left w:val="single" w:color="D9E1EA" w:sz="2"/>
              <w:bottom w:val="single" w:color="D9E1EA" w:sz="2"/>
              <w:right w:val="single" w:color="D9E1EA" w:sz="2"/>
            </w:tcBorders>
            <w:shd w:fill="F2F4F7" w:val="clear"/>
            <w:tcMar>
              <w:top w:type="dxa" w:w="70"/>
              <w:left w:type="dxa" w:w="100"/>
              <w:bottom w:type="dxa" w:w="70"/>
              <w:right w:type="dxa" w:w="100"/>
            </w:tcMar>
            <w:vAlign w:val="center"/>
          </w:tcPr>
          <w:p>
            <w:r>
              <w:rPr>
                <w:b w:val="false"/>
                <w:bCs w:val="false"/>
                <w:color w:val="1B2430"/>
                <w:sz w:val="18"/>
                <w:szCs w:val="18"/>
              </w:rPr>
              <w:t xml:space="preserve">NFR-08</w:t>
            </w:r>
          </w:p>
        </w:tc>
      </w:tr>
    </w:tbl>
    <w:p>
      <w:pPr>
        <w:spacing w:before="200"/>
      </w:pPr>
      <w:r>
        <w:rPr>
          <w:i/>
          <w:iCs/>
          <w:color w:val="5B6B7D"/>
          <w:sz w:val="18"/>
          <w:szCs w:val="18"/>
        </w:rPr>
        <w:t xml:space="preserve">Note: priority values (Must / Should) are initial recommendations and should be validated with the business owner before baselining.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6"/>
        <w:szCs w:val="16"/>
      </w:rPr>
      <w:t xml:space="preserve">Confidential — Page </w:t>
    </w:r>
    <w:r>
      <w:rPr>
        <w:color w:val="5B6B7D"/>
        <w:sz w:val="16"/>
        <w:szCs w:val="16"/>
      </w:rPr>
      <w:fldChar w:fldCharType="begin"/>
      <w:instrText xml:space="preserve">PAGE</w:instrText>
      <w:fldChar w:fldCharType="separate"/>
      <w:fldChar w:fldCharType="end"/>
    </w:r>
    <w:r>
      <w:rPr>
        <w:color w:val="5B6B7D"/>
        <w:sz w:val="16"/>
        <w:szCs w:val="16"/>
      </w:rPr>
      <w:t xml:space="preserve"> of </w:t>
    </w:r>
    <w:r>
      <w:rPr>
        <w:color w:val="5B6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D"/>
        <w:sz w:val="16"/>
        <w:szCs w:val="16"/>
      </w:rPr>
      <w:t xml:space="preserve">MassMutual Indexing Solution — FRD/NFR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2026-08-17T16:42:51.583Z</dcterms:created>
  <dcterms:modified xsi:type="dcterms:W3CDTF">2026-08-17T16:42:51.583Z</dcterms:modified>
</cp:coreProperties>
</file>

<file path=docProps/custom.xml><?xml version="1.0" encoding="utf-8"?>
<Properties xmlns="http://schemas.openxmlformats.org/officeDocument/2006/custom-properties" xmlns:vt="http://schemas.openxmlformats.org/officeDocument/2006/docPropsVTypes"/>
</file>