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A8327" w14:textId="77777777" w:rsidR="003F4486" w:rsidRDefault="00AA064E">
      <w:pPr>
        <w:pStyle w:val="Title"/>
      </w:pPr>
      <w:r>
        <w:t>Problem Set 2</w:t>
      </w:r>
    </w:p>
    <w:p w14:paraId="3BA64988" w14:textId="77777777" w:rsidR="003F4486" w:rsidRDefault="00AA064E">
      <w:pPr>
        <w:pStyle w:val="Subtitle"/>
      </w:pPr>
      <w:r>
        <w:t>Due Monday September 18, 2023, 10am</w:t>
      </w:r>
    </w:p>
    <w:p w14:paraId="7B7E2ECD" w14:textId="77777777" w:rsidR="00126837" w:rsidRDefault="00126837" w:rsidP="00126837">
      <w:pPr>
        <w:pStyle w:val="FirstParagraph"/>
      </w:pPr>
      <w:r>
        <w:t>To successfully complete this problem set, please follow these steps:</w:t>
      </w:r>
    </w:p>
    <w:p w14:paraId="32D66D7A" w14:textId="77777777" w:rsidR="00126837" w:rsidRDefault="00126837">
      <w:pPr>
        <w:pStyle w:val="Compact"/>
        <w:numPr>
          <w:ilvl w:val="0"/>
          <w:numId w:val="3"/>
        </w:numPr>
      </w:pPr>
      <w:r>
        <w:t xml:space="preserve">Download the contents of the assignment Dropbox link in a folder (directory) on your computer designated for this problem set only. Follow the directory structure, e.g., putting the </w:t>
      </w:r>
      <w:r>
        <w:rPr>
          <w:rStyle w:val="VerbatimChar"/>
        </w:rPr>
        <w:t>data</w:t>
      </w:r>
      <w:r>
        <w:t xml:space="preserve"> folder containing the datasets as a subdirectory of the project directory.</w:t>
      </w:r>
      <w:r>
        <w:br/>
      </w:r>
    </w:p>
    <w:p w14:paraId="6732B6A9" w14:textId="77777777" w:rsidR="00126837" w:rsidRDefault="00126837">
      <w:pPr>
        <w:pStyle w:val="Compact"/>
        <w:numPr>
          <w:ilvl w:val="0"/>
          <w:numId w:val="3"/>
        </w:numPr>
      </w:pPr>
      <w:r>
        <w:t xml:space="preserve">Insert your answers in the yellow boxes using Microsoft Word, and prepare a single </w:t>
      </w:r>
      <w:r>
        <w:rPr>
          <w:rStyle w:val="VerbatimChar"/>
        </w:rPr>
        <w:t>.R</w:t>
      </w:r>
      <w:r>
        <w:t xml:space="preserve"> script for what you produce. Save the word document as a</w:t>
      </w:r>
      <w:r>
        <w:rPr>
          <w:rStyle w:val="VerbatimChar"/>
        </w:rPr>
        <w:t>.PDF</w:t>
      </w:r>
      <w:r>
        <w:t>.</w:t>
      </w:r>
      <w:r>
        <w:br/>
      </w:r>
    </w:p>
    <w:p w14:paraId="1F966D54" w14:textId="77777777" w:rsidR="00126837" w:rsidRDefault="00126837">
      <w:pPr>
        <w:pStyle w:val="Compact"/>
        <w:numPr>
          <w:ilvl w:val="0"/>
          <w:numId w:val="3"/>
        </w:numPr>
      </w:pPr>
      <w:r>
        <w:t xml:space="preserve">Please submit the PDF to the designated </w:t>
      </w:r>
      <w:r>
        <w:rPr>
          <w:rStyle w:val="VerbatimChar"/>
        </w:rPr>
        <w:t>PS-XX: pdf</w:t>
      </w:r>
      <w:r>
        <w:t xml:space="preserve"> link and your R Script to the </w:t>
      </w:r>
      <w:r>
        <w:rPr>
          <w:rStyle w:val="VerbatimChar"/>
        </w:rPr>
        <w:t>PS-XX: R</w:t>
      </w:r>
      <w:r>
        <w:t xml:space="preserve"> link.</w:t>
      </w:r>
      <w:r>
        <w:br/>
      </w:r>
    </w:p>
    <w:p w14:paraId="68ECF3A0" w14:textId="77777777" w:rsidR="00126837" w:rsidRDefault="00126837">
      <w:pPr>
        <w:numPr>
          <w:ilvl w:val="0"/>
          <w:numId w:val="12"/>
        </w:numPr>
      </w:pPr>
      <w:r>
        <w:t>Your name:</w:t>
      </w:r>
    </w:p>
    <w:tbl>
      <w:tblPr>
        <w:tblW w:w="7200" w:type="dxa"/>
        <w:tblInd w:w="720" w:type="dxa"/>
        <w:tblLayout w:type="fixed"/>
        <w:tblLook w:val="0400" w:firstRow="0" w:lastRow="0" w:firstColumn="0" w:lastColumn="0" w:noHBand="0" w:noVBand="1"/>
      </w:tblPr>
      <w:tblGrid>
        <w:gridCol w:w="7200"/>
      </w:tblGrid>
      <w:tr w:rsidR="00126837" w14:paraId="0DFA2009" w14:textId="77777777" w:rsidTr="00E702F4">
        <w:trPr>
          <w:trHeight w:val="432"/>
        </w:trPr>
        <w:tc>
          <w:tcPr>
            <w:tcW w:w="7200" w:type="dxa"/>
            <w:shd w:val="clear" w:color="auto" w:fill="FFF2CC"/>
            <w:tcMar>
              <w:top w:w="144" w:type="dxa"/>
              <w:left w:w="115" w:type="dxa"/>
              <w:bottom w:w="144" w:type="dxa"/>
              <w:right w:w="115" w:type="dxa"/>
            </w:tcMar>
          </w:tcPr>
          <w:p w14:paraId="654B1F3C" w14:textId="4D2BB311" w:rsidR="00126837" w:rsidRDefault="003F6D7D" w:rsidP="00E702F4">
            <w:pPr>
              <w:rPr>
                <w:rFonts w:ascii="Calibri" w:eastAsia="Calibri" w:hAnsi="Calibri" w:cs="Calibri"/>
              </w:rPr>
            </w:pPr>
            <w:r>
              <w:rPr>
                <w:rFonts w:ascii="Calibri" w:eastAsia="Calibri" w:hAnsi="Calibri" w:cs="Calibri"/>
              </w:rPr>
              <w:t>Nikhilla Bhuvana Sundar</w:t>
            </w:r>
          </w:p>
        </w:tc>
      </w:tr>
    </w:tbl>
    <w:p w14:paraId="4FABA793" w14:textId="77777777" w:rsidR="00126837" w:rsidRDefault="00126837" w:rsidP="00126837">
      <w:pPr>
        <w:ind w:left="720"/>
      </w:pPr>
    </w:p>
    <w:p w14:paraId="074895FC" w14:textId="77777777" w:rsidR="00126837" w:rsidRDefault="00126837">
      <w:pPr>
        <w:numPr>
          <w:ilvl w:val="0"/>
          <w:numId w:val="12"/>
        </w:numPr>
      </w:pPr>
      <w:r>
        <w:t>Group members, if any:</w:t>
      </w:r>
    </w:p>
    <w:tbl>
      <w:tblPr>
        <w:tblW w:w="7200" w:type="dxa"/>
        <w:tblInd w:w="720" w:type="dxa"/>
        <w:tblLayout w:type="fixed"/>
        <w:tblLook w:val="0400" w:firstRow="0" w:lastRow="0" w:firstColumn="0" w:lastColumn="0" w:noHBand="0" w:noVBand="1"/>
      </w:tblPr>
      <w:tblGrid>
        <w:gridCol w:w="7200"/>
      </w:tblGrid>
      <w:tr w:rsidR="00126837" w14:paraId="75583556" w14:textId="77777777" w:rsidTr="00E702F4">
        <w:trPr>
          <w:trHeight w:val="432"/>
        </w:trPr>
        <w:tc>
          <w:tcPr>
            <w:tcW w:w="7200" w:type="dxa"/>
            <w:shd w:val="clear" w:color="auto" w:fill="FFF2CC"/>
            <w:tcMar>
              <w:top w:w="144" w:type="dxa"/>
              <w:left w:w="115" w:type="dxa"/>
              <w:bottom w:w="144" w:type="dxa"/>
              <w:right w:w="115" w:type="dxa"/>
            </w:tcMar>
          </w:tcPr>
          <w:p w14:paraId="06AEA763" w14:textId="77777777" w:rsidR="00126837" w:rsidRDefault="00126837" w:rsidP="00E702F4">
            <w:pPr>
              <w:rPr>
                <w:rFonts w:ascii="Calibri" w:eastAsia="Calibri" w:hAnsi="Calibri" w:cs="Calibri"/>
              </w:rPr>
            </w:pPr>
          </w:p>
        </w:tc>
      </w:tr>
    </w:tbl>
    <w:p w14:paraId="5403232B" w14:textId="77777777" w:rsidR="00126837" w:rsidRDefault="00126837" w:rsidP="00126837"/>
    <w:p w14:paraId="17691D70" w14:textId="77777777" w:rsidR="00126837" w:rsidRDefault="00126837">
      <w:pPr>
        <w:numPr>
          <w:ilvl w:val="0"/>
          <w:numId w:val="12"/>
        </w:numPr>
      </w:pPr>
      <w:r>
        <w:t>Compliance with the Academic Code on problem set</w:t>
      </w:r>
      <w:r>
        <w:rPr>
          <w:rFonts w:ascii="Times" w:eastAsia="Times" w:hAnsi="Times" w:cs="Times"/>
          <w:sz w:val="24"/>
          <w:vertAlign w:val="superscript"/>
        </w:rPr>
        <w:footnoteReference w:id="1"/>
      </w:r>
      <w:r>
        <w:t xml:space="preserve"> (sign with an X below)</w:t>
      </w:r>
    </w:p>
    <w:tbl>
      <w:tblPr>
        <w:tblW w:w="7200" w:type="dxa"/>
        <w:tblInd w:w="720" w:type="dxa"/>
        <w:tblLayout w:type="fixed"/>
        <w:tblLook w:val="0400" w:firstRow="0" w:lastRow="0" w:firstColumn="0" w:lastColumn="0" w:noHBand="0" w:noVBand="1"/>
      </w:tblPr>
      <w:tblGrid>
        <w:gridCol w:w="7200"/>
      </w:tblGrid>
      <w:tr w:rsidR="00126837" w14:paraId="75278228" w14:textId="77777777" w:rsidTr="00E702F4">
        <w:trPr>
          <w:trHeight w:val="432"/>
        </w:trPr>
        <w:tc>
          <w:tcPr>
            <w:tcW w:w="7200" w:type="dxa"/>
            <w:shd w:val="clear" w:color="auto" w:fill="FFF2CC"/>
            <w:tcMar>
              <w:top w:w="144" w:type="dxa"/>
              <w:left w:w="115" w:type="dxa"/>
              <w:bottom w:w="144" w:type="dxa"/>
              <w:right w:w="115" w:type="dxa"/>
            </w:tcMar>
          </w:tcPr>
          <w:p w14:paraId="369B0BFC" w14:textId="3609ED8B" w:rsidR="00126837" w:rsidRDefault="007C0D7D" w:rsidP="00E702F4">
            <w:pPr>
              <w:rPr>
                <w:rFonts w:ascii="Calibri" w:eastAsia="Calibri" w:hAnsi="Calibri" w:cs="Calibri"/>
              </w:rPr>
            </w:pPr>
            <w:r>
              <w:rPr>
                <w:rFonts w:ascii="Calibri" w:eastAsia="Calibri" w:hAnsi="Calibri" w:cs="Calibri"/>
              </w:rPr>
              <w:t>X</w:t>
            </w:r>
          </w:p>
        </w:tc>
      </w:tr>
    </w:tbl>
    <w:p w14:paraId="07B940E8" w14:textId="77777777" w:rsidR="00126837" w:rsidRDefault="00126837" w:rsidP="00126837">
      <w:pPr>
        <w:pStyle w:val="FirstParagraph"/>
      </w:pPr>
    </w:p>
    <w:p w14:paraId="68FBA7DF" w14:textId="77777777" w:rsidR="00126837" w:rsidRDefault="00126837" w:rsidP="00126837">
      <w:pPr>
        <w:pStyle w:val="FirstParagraph"/>
      </w:pPr>
    </w:p>
    <w:p w14:paraId="2B231234" w14:textId="77777777" w:rsidR="00126837" w:rsidRDefault="00126837">
      <w:pPr>
        <w:pStyle w:val="FirstParagraph"/>
      </w:pPr>
    </w:p>
    <w:p w14:paraId="755FC27D" w14:textId="60AEC0B0" w:rsidR="003F4486" w:rsidRDefault="00AA064E">
      <w:pPr>
        <w:pStyle w:val="FirstParagraph"/>
      </w:pPr>
      <w:r>
        <w:t>In this problem set, we will continue with:</w:t>
      </w:r>
    </w:p>
    <w:p w14:paraId="75B53EAD" w14:textId="77777777" w:rsidR="003F4486" w:rsidRDefault="00AA064E">
      <w:pPr>
        <w:pStyle w:val="BlockText"/>
      </w:pPr>
      <w:r>
        <w:t xml:space="preserve">Banerjee, A., Duflo, E., Karlan, D. et al., 2015. A multifaceted program causes lasting progress for the very poor: Evidence from six countries. </w:t>
      </w:r>
      <w:r>
        <w:rPr>
          <w:i/>
          <w:iCs/>
        </w:rPr>
        <w:t>Science</w:t>
      </w:r>
      <w:r>
        <w:t xml:space="preserve">. (Canvas </w:t>
      </w:r>
      <w:hyperlink r:id="rId7">
        <w:r>
          <w:rPr>
            <w:rStyle w:val="Hyperlink"/>
          </w:rPr>
          <w:t>reading link</w:t>
        </w:r>
      </w:hyperlink>
      <w:r>
        <w:t>)</w:t>
      </w:r>
    </w:p>
    <w:p w14:paraId="576FADCF" w14:textId="77777777" w:rsidR="00B94798" w:rsidRDefault="00B94798">
      <w:pPr>
        <w:pStyle w:val="FirstParagraph"/>
      </w:pPr>
    </w:p>
    <w:p w14:paraId="45326A0F" w14:textId="277F3DB9" w:rsidR="003F4486" w:rsidRDefault="00AA064E">
      <w:pPr>
        <w:pStyle w:val="FirstParagraph"/>
      </w:pPr>
      <w:proofErr w:type="spellStart"/>
      <w:r>
        <w:t>Gradescope</w:t>
      </w:r>
      <w:proofErr w:type="spellEnd"/>
      <w:r>
        <w:t xml:space="preserve"> will have pre-installed the following packages:</w:t>
      </w:r>
    </w:p>
    <w:p w14:paraId="3A1B9AFD" w14:textId="77777777" w:rsidR="003F4486" w:rsidRDefault="00AA064E">
      <w:pPr>
        <w:pStyle w:val="SourceCode"/>
      </w:pPr>
      <w:proofErr w:type="spellStart"/>
      <w:r>
        <w:rPr>
          <w:rStyle w:val="VerbatimChar"/>
        </w:rPr>
        <w:t>tidyverse</w:t>
      </w:r>
      <w:proofErr w:type="spellEnd"/>
      <w:r>
        <w:br/>
      </w:r>
      <w:r>
        <w:rPr>
          <w:rStyle w:val="VerbatimChar"/>
        </w:rPr>
        <w:t>scales</w:t>
      </w:r>
      <w:r>
        <w:br/>
      </w:r>
      <w:proofErr w:type="spellStart"/>
      <w:r>
        <w:rPr>
          <w:rStyle w:val="VerbatimChar"/>
        </w:rPr>
        <w:t>gt</w:t>
      </w:r>
      <w:proofErr w:type="spellEnd"/>
      <w:r>
        <w:br/>
      </w:r>
      <w:proofErr w:type="spellStart"/>
      <w:r>
        <w:rPr>
          <w:rStyle w:val="VerbatimChar"/>
        </w:rPr>
        <w:t>modelsummary</w:t>
      </w:r>
      <w:proofErr w:type="spellEnd"/>
    </w:p>
    <w:p w14:paraId="5015B812" w14:textId="2B157712" w:rsidR="003F4486" w:rsidRDefault="00AA064E">
      <w:pPr>
        <w:pStyle w:val="FirstParagraph"/>
      </w:pPr>
      <w:r>
        <w:t>This problem set is about the analysis of randomized control trials and estimating the average treatment effect with the SATE (sample average treatment effect). Read up to the section “Country-by-country variation” before starting on this problem set or as you work through it.</w:t>
      </w:r>
      <w:r w:rsidR="00B94798">
        <w:t xml:space="preserve"> </w:t>
      </w:r>
    </w:p>
    <w:p w14:paraId="7185C162" w14:textId="0C140E1D" w:rsidR="00B94798" w:rsidRPr="00B94798" w:rsidRDefault="00B94798" w:rsidP="00B94798">
      <w:pPr>
        <w:pStyle w:val="BodyText"/>
      </w:pPr>
      <w:r>
        <w:t>As always, hints are provided at the end.</w:t>
      </w:r>
    </w:p>
    <w:p w14:paraId="2BBFBDF1" w14:textId="77777777" w:rsidR="00B94798" w:rsidRPr="00B94798" w:rsidRDefault="00B94798" w:rsidP="00B94798">
      <w:pPr>
        <w:pStyle w:val="BodyText"/>
      </w:pPr>
    </w:p>
    <w:p w14:paraId="6C437469" w14:textId="77777777" w:rsidR="003F4486" w:rsidRDefault="00AA064E">
      <w:pPr>
        <w:pStyle w:val="Heading1"/>
      </w:pPr>
      <w:bookmarkStart w:id="0" w:name="problem-1"/>
      <w:r>
        <w:t>Problem 1</w:t>
      </w:r>
    </w:p>
    <w:p w14:paraId="72D5D33B" w14:textId="77777777" w:rsidR="003F4486" w:rsidRDefault="00AA064E">
      <w:pPr>
        <w:pStyle w:val="FirstParagraph"/>
      </w:pPr>
      <w:r>
        <w:t xml:space="preserve">Suppose the causal effect of the Graduation program on an outcome </w:t>
      </w:r>
      <m:oMath>
        <m:r>
          <w:rPr>
            <w:rFonts w:ascii="Cambria Math" w:hAnsi="Cambria Math"/>
          </w:rPr>
          <m:t>Y</m:t>
        </m:r>
      </m:oMath>
      <w:r>
        <w:t xml:space="preserve"> was </w:t>
      </w:r>
      <m:oMath>
        <m:r>
          <w:rPr>
            <w:rFonts w:ascii="Cambria Math" w:hAnsi="Cambria Math"/>
          </w:rPr>
          <m:t>τ</m:t>
        </m:r>
      </m:oMath>
      <w:r>
        <w:t xml:space="preserve"> for all individuals. In other words,</w:t>
      </w:r>
    </w:p>
    <w:p w14:paraId="10157EA4" w14:textId="77777777" w:rsidR="003F4486" w:rsidRDefault="00EF1282">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r>
                <w:rPr>
                  <w:rFonts w:ascii="Cambria Math" w:hAnsi="Cambria Math"/>
                </w:rPr>
                <m:t>i</m:t>
              </m:r>
            </m:sub>
          </m:sSub>
          <m:r>
            <m:rPr>
              <m:sty m:val="p"/>
            </m:rPr>
            <w:rPr>
              <w:rFonts w:ascii="Cambria Math" w:hAnsi="Cambria Math"/>
            </w:rPr>
            <m:t>=</m:t>
          </m:r>
          <m:r>
            <w:rPr>
              <w:rFonts w:ascii="Cambria Math" w:hAnsi="Cambria Math"/>
            </w:rPr>
            <m:t>τ</m:t>
          </m:r>
        </m:oMath>
      </m:oMathPara>
    </w:p>
    <w:p w14:paraId="23A804F7" w14:textId="2EAF6E96" w:rsidR="003F4486" w:rsidRDefault="00AA064E">
      <w:pPr>
        <w:pStyle w:val="FirstParagraph"/>
      </w:pPr>
      <w:r>
        <w:t xml:space="preserve">for all individuals </w:t>
      </w:r>
      <m:oMath>
        <m:r>
          <w:rPr>
            <w:rFonts w:ascii="Cambria Math" w:hAnsi="Cambria Math"/>
          </w:rPr>
          <m:t>i</m:t>
        </m:r>
      </m:oMath>
      <w:r>
        <w:t xml:space="preserve">. Show mathematically that, if </w:t>
      </w:r>
      <w:r w:rsidR="00FD58E9">
        <w:t xml:space="preserve">being assigned to the Graduation Program, </w:t>
      </w:r>
      <m:oMath>
        <m:r>
          <w:rPr>
            <w:rFonts w:ascii="Cambria Math" w:hAnsi="Cambria Math"/>
          </w:rPr>
          <m:t>D</m:t>
        </m:r>
      </m:oMath>
      <w:r>
        <w:t xml:space="preserve"> is randomly</w:t>
      </w:r>
      <w:r w:rsidR="00FD58E9">
        <w:t xml:space="preserve"> determined</w:t>
      </w:r>
      <w:r>
        <w:t xml:space="preserve">, </w:t>
      </w:r>
      <w:r w:rsidR="00FE533F">
        <w:t xml:space="preserve">then </w:t>
      </w:r>
      <w:r>
        <w:t xml:space="preserve">the difference between the expected outcome among individuals assigned to treatment </w:t>
      </w:r>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oMath>
      <w:r>
        <w:t xml:space="preserve"> and the expected outcome among those assigned to control </w:t>
      </w:r>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oMath>
      <w:r>
        <w:t xml:space="preserve"> is </w:t>
      </w:r>
      <m:oMath>
        <m:r>
          <w:rPr>
            <w:rFonts w:ascii="Cambria Math" w:hAnsi="Cambria Math"/>
          </w:rPr>
          <m:t>τ</m:t>
        </m:r>
      </m:oMath>
      <w:r>
        <w:t>.</w:t>
      </w:r>
    </w:p>
    <w:p w14:paraId="7FD331B9" w14:textId="75E684BD" w:rsidR="003F4486" w:rsidRDefault="003F4486">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22913B03" w14:textId="77777777" w:rsidTr="00E702F4">
        <w:trPr>
          <w:trHeight w:val="432"/>
        </w:trPr>
        <w:tc>
          <w:tcPr>
            <w:tcW w:w="7200" w:type="dxa"/>
            <w:shd w:val="clear" w:color="auto" w:fill="FFF2CC"/>
            <w:tcMar>
              <w:top w:w="144" w:type="dxa"/>
              <w:left w:w="115" w:type="dxa"/>
              <w:bottom w:w="144" w:type="dxa"/>
              <w:right w:w="115" w:type="dxa"/>
            </w:tcMar>
          </w:tcPr>
          <w:p w14:paraId="58FA0916" w14:textId="1FEABB62" w:rsidR="003F2272" w:rsidRPr="003F2272" w:rsidRDefault="003F2272" w:rsidP="00157710">
            <w:pPr>
              <w:pStyle w:val="BodyText"/>
              <w:rPr>
                <w:rFonts w:eastAsiaTheme="minorEastAsia"/>
              </w:rPr>
            </w:pPr>
            <w:r>
              <w:rPr>
                <w:rFonts w:eastAsiaTheme="minorEastAsia"/>
              </w:rPr>
              <w:t xml:space="preserve">Given that, </w:t>
            </w:r>
            <m:oMath>
              <m:sSub>
                <m:sSubPr>
                  <m:ctrlPr>
                    <w:rPr>
                      <w:rFonts w:ascii="Cambria Math" w:hAnsi="Cambria Math"/>
                    </w:rPr>
                  </m:ctrlPr>
                </m:sSubPr>
                <m:e>
                  <m:r>
                    <w:rPr>
                      <w:rFonts w:ascii="Cambria Math" w:hAnsi="Cambria Math"/>
                    </w:rPr>
                    <m:t>Y</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m:t>
                  </m:r>
                </m:sub>
              </m:sSub>
              <m:r>
                <m:rPr>
                  <m:sty m:val="p"/>
                </m:rPr>
                <w:rPr>
                  <w:rFonts w:ascii="Cambria Math" w:hAnsi="Cambria Math"/>
                </w:rPr>
                <m:t>=</m:t>
              </m:r>
              <m:r>
                <w:rPr>
                  <w:rFonts w:ascii="Cambria Math" w:hAnsi="Cambria Math"/>
                </w:rPr>
                <m:t>τ</m:t>
              </m:r>
            </m:oMath>
            <w:r w:rsidR="00270419">
              <w:rPr>
                <w:rFonts w:eastAsiaTheme="minorEastAsia"/>
              </w:rPr>
              <w:t xml:space="preserve"> </w:t>
            </w:r>
          </w:p>
          <w:p w14:paraId="402B9038" w14:textId="578221EB" w:rsidR="003F2272" w:rsidRDefault="000C1B27" w:rsidP="00157710">
            <w:pPr>
              <w:pStyle w:val="BodyText"/>
              <w:rPr>
                <w:rFonts w:eastAsiaTheme="minorEastAsia"/>
              </w:rPr>
            </w:pPr>
            <m:oMath>
              <m:r>
                <w:rPr>
                  <w:rFonts w:ascii="Cambria Math" w:hAnsi="Cambria Math"/>
                </w:rPr>
                <m:t xml:space="preserve">We have </m:t>
              </m:r>
              <m:sSub>
                <m:sSubPr>
                  <m:ctrlPr>
                    <w:rPr>
                      <w:rFonts w:ascii="Cambria Math" w:hAnsi="Cambria Math"/>
                    </w:rPr>
                  </m:ctrlPr>
                </m:sSubPr>
                <m:e>
                  <m:r>
                    <w:rPr>
                      <w:rFonts w:ascii="Cambria Math" w:hAnsi="Cambria Math"/>
                    </w:rPr>
                    <m:t>Y</m:t>
                  </m:r>
                </m:e>
                <m:sub>
                  <m:r>
                    <w:rPr>
                      <w:rFonts w:ascii="Cambria Math" w:hAnsi="Cambria Math"/>
                    </w:rPr>
                    <m:t>1i</m:t>
                  </m:r>
                </m:sub>
              </m:sSub>
              <m:r>
                <m:rPr>
                  <m:sty m:val="p"/>
                </m:rPr>
                <w:rPr>
                  <w:rFonts w:ascii="Cambria Math" w:hAnsi="Cambria Math"/>
                </w:rPr>
                <m:t>=</m:t>
              </m:r>
              <m:r>
                <w:rPr>
                  <w:rFonts w:ascii="Cambria Math" w:hAnsi="Cambria Math"/>
                </w:rPr>
                <m:t xml:space="preserve">τ+ </m:t>
              </m:r>
              <m:sSub>
                <m:sSubPr>
                  <m:ctrlPr>
                    <w:rPr>
                      <w:rFonts w:ascii="Cambria Math" w:hAnsi="Cambria Math"/>
                    </w:rPr>
                  </m:ctrlPr>
                </m:sSubPr>
                <m:e>
                  <m:r>
                    <w:rPr>
                      <w:rFonts w:ascii="Cambria Math" w:hAnsi="Cambria Math"/>
                    </w:rPr>
                    <m:t>Y</m:t>
                  </m:r>
                </m:e>
                <m:sub>
                  <m:r>
                    <w:rPr>
                      <w:rFonts w:ascii="Cambria Math" w:hAnsi="Cambria Math"/>
                    </w:rPr>
                    <m:t>0i</m:t>
                  </m:r>
                </m:sub>
              </m:sSub>
            </m:oMath>
            <w:r w:rsidR="003215B3">
              <w:rPr>
                <w:rFonts w:eastAsiaTheme="minorEastAsia"/>
              </w:rPr>
              <w:t xml:space="preserve"> </w:t>
            </w:r>
            <w:r w:rsidR="003819AA">
              <w:rPr>
                <w:rFonts w:eastAsiaTheme="minorEastAsia"/>
              </w:rPr>
              <w:t xml:space="preserve">                                  </w:t>
            </w:r>
            <w:r w:rsidR="003215B3">
              <w:rPr>
                <w:rFonts w:eastAsiaTheme="minorEastAsia"/>
              </w:rPr>
              <w:t xml:space="preserve"> </w:t>
            </w:r>
            <w:r w:rsidR="00004B7A">
              <w:rPr>
                <w:rFonts w:eastAsiaTheme="minorEastAsia"/>
              </w:rPr>
              <w:t xml:space="preserve"> </w:t>
            </w:r>
            <w:r w:rsidR="003215B3">
              <w:rPr>
                <w:rFonts w:eastAsiaTheme="minorEastAsia"/>
              </w:rPr>
              <w:t>(1)</w:t>
            </w:r>
          </w:p>
          <w:p w14:paraId="288FA1BD" w14:textId="07D73EF6" w:rsidR="00B745DF" w:rsidRPr="00B745DF" w:rsidRDefault="00705F0C" w:rsidP="00157710">
            <w:pPr>
              <w:pStyle w:val="BodyText"/>
              <w:rPr>
                <w:rFonts w:eastAsiaTheme="minorEastAsia"/>
              </w:rPr>
            </w:pPr>
            <m:oMathPara>
              <m:oMath>
                <m:r>
                  <m:rPr>
                    <m:sty m:val="p"/>
                  </m:rPr>
                  <w:rPr>
                    <w:rFonts w:ascii="Cambria Math" w:hAnsi="Cambria Math"/>
                  </w:rPr>
                  <m:t xml:space="preserve">When </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is randomly assigned, the difference between 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r>
                  <w:rPr>
                    <w:rFonts w:ascii="Cambria Math" w:hAnsi="Cambria Math"/>
                  </w:rPr>
                  <m:t xml:space="preserve"> and 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r>
                  <w:rPr>
                    <w:rFonts w:ascii="Cambria Math" w:hAnsi="Cambria Math"/>
                  </w:rPr>
                  <m:t xml:space="preserve"> captures the causal effect of the treatment</m:t>
                </m:r>
              </m:oMath>
            </m:oMathPara>
          </w:p>
          <w:p w14:paraId="27DFC0D7" w14:textId="79172AE8" w:rsidR="00AC4E83" w:rsidRPr="00866D82" w:rsidRDefault="00866D82" w:rsidP="00157710">
            <w:pPr>
              <w:pStyle w:val="BodyText"/>
              <w:rPr>
                <w:rFonts w:eastAsiaTheme="minorEastAsia"/>
              </w:rPr>
            </w:pPr>
            <m:oMathPara>
              <m:oMath>
                <m:r>
                  <w:rPr>
                    <w:rFonts w:ascii="Cambria Math" w:hAnsi="Cambria Math"/>
                  </w:rPr>
                  <m:t>=E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r>
                  <w:rPr>
                    <w:rFonts w:ascii="Cambria Math" w:hAnsi="Cambria Math"/>
                  </w:rPr>
                  <m:t>- E</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oMath>
            </m:oMathPara>
          </w:p>
          <w:p w14:paraId="1DA7EF1A" w14:textId="672B2D0E" w:rsidR="00866D82" w:rsidRPr="00866D82" w:rsidRDefault="00866D82" w:rsidP="00157710">
            <w:pPr>
              <w:pStyle w:val="BodyText"/>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r>
                <w:rPr>
                  <w:rFonts w:ascii="Cambria Math" w:hAnsi="Cambria Math"/>
                </w:rPr>
                <m:t>- 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oMath>
          </w:p>
          <w:p w14:paraId="3BF4C1B0" w14:textId="691E4223" w:rsidR="00157710" w:rsidRDefault="00BF3183" w:rsidP="00270419">
            <w:pPr>
              <w:pStyle w:val="BodyText"/>
              <w:rPr>
                <w:rFonts w:eastAsiaTheme="minorEastAsia"/>
              </w:rPr>
            </w:pPr>
            <w:r>
              <w:rPr>
                <w:rFonts w:eastAsiaTheme="minorEastAsia"/>
              </w:rPr>
              <w:lastRenderedPageBreak/>
              <w:t xml:space="preserve">From (1) we have, </w:t>
            </w:r>
          </w:p>
          <w:p w14:paraId="713843F9" w14:textId="4236BB6A" w:rsidR="00BF3183" w:rsidRDefault="00BF3183" w:rsidP="00BF3183">
            <w:pPr>
              <w:pStyle w:val="BodyText"/>
              <w:rPr>
                <w:rFonts w:eastAsiaTheme="minorEastAsia"/>
              </w:rPr>
            </w:pPr>
            <w:r>
              <w:rPr>
                <w:rFonts w:eastAsiaTheme="minorEastAsia"/>
              </w:rPr>
              <w:t xml:space="preserve">= </w:t>
            </w:r>
            <m:oMath>
              <m:r>
                <w:rPr>
                  <w:rFonts w:ascii="Cambria Math" w:eastAsiaTheme="minorEastAsia" w:hAnsi="Cambria Math"/>
                </w:rPr>
                <m:t xml:space="preserve"> </m:t>
              </m:r>
              <m:r>
                <w:rPr>
                  <w:rFonts w:ascii="Cambria Math" w:hAnsi="Cambria Math"/>
                </w:rPr>
                <m:t>E</m:t>
              </m:r>
              <m:d>
                <m:dPr>
                  <m:begChr m:val="["/>
                  <m:endChr m:val="]"/>
                  <m:ctrlPr>
                    <w:rPr>
                      <w:rFonts w:ascii="Cambria Math" w:hAnsi="Cambria Math"/>
                    </w:rPr>
                  </m:ctrlPr>
                </m:dPr>
                <m:e>
                  <m:r>
                    <w:rPr>
                      <w:rFonts w:ascii="Cambria Math" w:hAnsi="Cambria Math"/>
                    </w:rPr>
                    <m:t>τ+</m:t>
                  </m:r>
                  <m:sSub>
                    <m:sSubPr>
                      <m:ctrlPr>
                        <w:rPr>
                          <w:rFonts w:ascii="Cambria Math" w:hAnsi="Cambria Math"/>
                          <w:i/>
                        </w:rPr>
                      </m:ctrlPr>
                    </m:sSubPr>
                    <m:e>
                      <m:r>
                        <w:rPr>
                          <w:rFonts w:ascii="Cambria Math" w:hAnsi="Cambria Math"/>
                        </w:rPr>
                        <m:t>Y</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r>
                <w:rPr>
                  <w:rFonts w:ascii="Cambria Math" w:hAnsi="Cambria Math"/>
                </w:rPr>
                <m:t>- 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oMath>
          </w:p>
          <w:p w14:paraId="55756BA6" w14:textId="77777777" w:rsidR="00EC7E90" w:rsidRDefault="007F5747" w:rsidP="007F5747">
            <w:pPr>
              <w:pStyle w:val="BodyText"/>
              <w:rPr>
                <w:rFonts w:eastAsiaTheme="minorEastAsia"/>
              </w:rPr>
            </w:pPr>
            <w:r>
              <w:rPr>
                <w:rFonts w:eastAsiaTheme="minorEastAsia"/>
              </w:rPr>
              <w:t xml:space="preserve">= </w:t>
            </w:r>
            <m:oMath>
              <m:r>
                <w:rPr>
                  <w:rFonts w:ascii="Cambria Math" w:hAnsi="Cambria Math"/>
                </w:rPr>
                <m:t>τ</m:t>
              </m:r>
            </m:oMath>
            <w:r>
              <w:rPr>
                <w:rFonts w:eastAsiaTheme="minorEastAsia"/>
              </w:rPr>
              <w:t xml:space="preserve"> + </w:t>
            </w:r>
            <m:oMath>
              <m: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1</m:t>
                  </m:r>
                </m:e>
              </m:d>
              <m:r>
                <w:rPr>
                  <w:rFonts w:ascii="Cambria Math" w:hAnsi="Cambria Math"/>
                </w:rPr>
                <m:t>- 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0i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r>
                    <w:rPr>
                      <w:rFonts w:ascii="Cambria Math" w:hAnsi="Cambria Math"/>
                    </w:rPr>
                    <m:t>0</m:t>
                  </m:r>
                </m:e>
              </m:d>
            </m:oMath>
            <w:r w:rsidR="00BD4EB9">
              <w:rPr>
                <w:rFonts w:eastAsiaTheme="minorEastAsia"/>
              </w:rPr>
              <w:t xml:space="preserve"> </w:t>
            </w:r>
            <w:r w:rsidR="007F317C">
              <w:rPr>
                <w:rFonts w:eastAsiaTheme="minorEastAsia"/>
              </w:rPr>
              <w:t xml:space="preserve"> </w:t>
            </w:r>
            <w:r w:rsidR="00E028C7">
              <w:rPr>
                <w:rFonts w:eastAsiaTheme="minorEastAsia"/>
              </w:rPr>
              <w:t xml:space="preserve">      </w:t>
            </w:r>
            <m:oMath>
              <m:r>
                <w:rPr>
                  <w:rFonts w:ascii="Cambria Math" w:hAnsi="Cambria Math"/>
                </w:rPr>
                <m:t>τ</m:t>
              </m:r>
            </m:oMath>
            <w:r w:rsidR="00D35114">
              <w:rPr>
                <w:rFonts w:eastAsiaTheme="minorEastAsia"/>
              </w:rPr>
              <w:t xml:space="preserve"> can be taken out as expectation is </w:t>
            </w:r>
          </w:p>
          <w:p w14:paraId="767D3105" w14:textId="379449D5" w:rsidR="007F5747" w:rsidRDefault="00EC7E90" w:rsidP="007F5747">
            <w:pPr>
              <w:pStyle w:val="BodyText"/>
              <w:rPr>
                <w:rFonts w:eastAsiaTheme="minorEastAsia"/>
              </w:rPr>
            </w:pPr>
            <w:r>
              <w:rPr>
                <w:rFonts w:eastAsiaTheme="minorEastAsia"/>
              </w:rPr>
              <w:t xml:space="preserve">                                                                     </w:t>
            </w:r>
            <w:r w:rsidR="00D35114">
              <w:rPr>
                <w:rFonts w:eastAsiaTheme="minorEastAsia"/>
              </w:rPr>
              <w:t xml:space="preserve">a linear operator </w:t>
            </w:r>
          </w:p>
          <w:p w14:paraId="5AF27577" w14:textId="2CEE54D9" w:rsidR="005B07E9" w:rsidRPr="00663D84" w:rsidRDefault="007F5747" w:rsidP="00E702F4">
            <w:pPr>
              <w:pStyle w:val="BodyText"/>
              <w:rPr>
                <w:rFonts w:eastAsiaTheme="minorEastAsia"/>
              </w:rPr>
            </w:pPr>
            <w:r>
              <w:rPr>
                <w:rFonts w:eastAsiaTheme="minorEastAsia"/>
              </w:rPr>
              <w:t xml:space="preserve">And the above equation leaves us with </w:t>
            </w:r>
            <m:oMath>
              <m:r>
                <w:rPr>
                  <w:rFonts w:ascii="Cambria Math" w:hAnsi="Cambria Math"/>
                </w:rPr>
                <m:t>τ</m:t>
              </m:r>
            </m:oMath>
          </w:p>
        </w:tc>
      </w:tr>
    </w:tbl>
    <w:p w14:paraId="348B4D1B" w14:textId="34F0F8A0" w:rsidR="005B07E9" w:rsidRDefault="005B07E9">
      <w:pPr>
        <w:pStyle w:val="BodyText"/>
      </w:pPr>
    </w:p>
    <w:p w14:paraId="1B7EE84C" w14:textId="77777777" w:rsidR="005B07E9" w:rsidRDefault="005B07E9">
      <w:pPr>
        <w:rPr>
          <w:rFonts w:cs="Times New Roman"/>
        </w:rPr>
      </w:pPr>
      <w:r>
        <w:br w:type="page"/>
      </w:r>
    </w:p>
    <w:p w14:paraId="2D627360" w14:textId="77777777" w:rsidR="005B07E9" w:rsidRDefault="005B07E9">
      <w:pPr>
        <w:pStyle w:val="BodyText"/>
      </w:pPr>
    </w:p>
    <w:p w14:paraId="642776AC" w14:textId="77777777" w:rsidR="003F4486" w:rsidRDefault="00AA064E">
      <w:pPr>
        <w:pStyle w:val="Heading1"/>
      </w:pPr>
      <w:bookmarkStart w:id="1" w:name="problem-2"/>
      <w:bookmarkEnd w:id="0"/>
      <w:r>
        <w:t>Problem 2</w:t>
      </w:r>
    </w:p>
    <w:p w14:paraId="5900970C" w14:textId="77777777" w:rsidR="003F4486" w:rsidRDefault="00AA064E">
      <w:pPr>
        <w:pStyle w:val="FirstParagraph"/>
      </w:pPr>
      <w:r>
        <w:t xml:space="preserve">The dataset </w:t>
      </w:r>
      <w:proofErr w:type="spellStart"/>
      <w:r>
        <w:rPr>
          <w:rStyle w:val="VerbatimChar"/>
        </w:rPr>
        <w:t>graduation_household.rds</w:t>
      </w:r>
      <w:proofErr w:type="spellEnd"/>
      <w:r>
        <w:t xml:space="preserve"> includes the household-level variables measured for this study. We analyzed a subset of this dataset in the previous problem set. </w:t>
      </w:r>
      <w:proofErr w:type="spellStart"/>
      <w:r>
        <w:rPr>
          <w:rStyle w:val="VerbatimChar"/>
        </w:rPr>
        <w:t>rds</w:t>
      </w:r>
      <w:proofErr w:type="spellEnd"/>
      <w:r>
        <w:t xml:space="preserve"> is a format for any generic R object.</w:t>
      </w:r>
      <w:r>
        <w:rPr>
          <w:rStyle w:val="FootnoteReference"/>
        </w:rPr>
        <w:footnoteReference w:id="2"/>
      </w:r>
    </w:p>
    <w:p w14:paraId="06AF9D27" w14:textId="77777777" w:rsidR="003F4486" w:rsidRDefault="00AA064E">
      <w:pPr>
        <w:pStyle w:val="BodyText"/>
      </w:pPr>
      <w:r>
        <w:t xml:space="preserve">One naming convention that the authors use is to denote outcomes measured at different survey waves by the suffixes </w:t>
      </w:r>
      <w:r>
        <w:rPr>
          <w:rStyle w:val="VerbatimChar"/>
        </w:rPr>
        <w:t>_</w:t>
      </w:r>
      <w:proofErr w:type="spellStart"/>
      <w:r>
        <w:rPr>
          <w:rStyle w:val="VerbatimChar"/>
        </w:rPr>
        <w:t>bsl</w:t>
      </w:r>
      <w:proofErr w:type="spellEnd"/>
      <w:r>
        <w:t xml:space="preserve"> (baseline), </w:t>
      </w:r>
      <w:r>
        <w:rPr>
          <w:rStyle w:val="VerbatimChar"/>
        </w:rPr>
        <w:t>_end</w:t>
      </w:r>
      <w:r>
        <w:t xml:space="preserve"> (endline 1), and </w:t>
      </w:r>
      <w:r>
        <w:rPr>
          <w:rStyle w:val="VerbatimChar"/>
        </w:rPr>
        <w:t>_</w:t>
      </w:r>
      <w:proofErr w:type="spellStart"/>
      <w:r>
        <w:rPr>
          <w:rStyle w:val="VerbatimChar"/>
        </w:rPr>
        <w:t>fup</w:t>
      </w:r>
      <w:proofErr w:type="spellEnd"/>
      <w:r>
        <w:t xml:space="preserve"> (follow-up, or endline 2). The variables include:</w:t>
      </w:r>
    </w:p>
    <w:tbl>
      <w:tblPr>
        <w:tblStyle w:val="Table"/>
        <w:tblW w:w="5000" w:type="pct"/>
        <w:tblLook w:val="0020" w:firstRow="1" w:lastRow="0" w:firstColumn="0" w:lastColumn="0" w:noHBand="0" w:noVBand="0"/>
      </w:tblPr>
      <w:tblGrid>
        <w:gridCol w:w="1752"/>
        <w:gridCol w:w="6168"/>
      </w:tblGrid>
      <w:tr w:rsidR="003F4486" w14:paraId="43C4753A" w14:textId="77777777" w:rsidTr="00B94798">
        <w:trPr>
          <w:tblHeader/>
        </w:trPr>
        <w:tc>
          <w:tcPr>
            <w:tcW w:w="0" w:type="auto"/>
            <w:tcBorders>
              <w:top w:val="single" w:sz="4" w:space="0" w:color="000000"/>
              <w:bottom w:val="single" w:sz="4" w:space="0" w:color="000000"/>
            </w:tcBorders>
          </w:tcPr>
          <w:p w14:paraId="1A2C82F7" w14:textId="77777777" w:rsidR="003F4486" w:rsidRDefault="00AA064E">
            <w:pPr>
              <w:pStyle w:val="Compact"/>
            </w:pPr>
            <w:r>
              <w:rPr>
                <w:b/>
                <w:bCs/>
              </w:rPr>
              <w:t>Variable name</w:t>
            </w:r>
          </w:p>
        </w:tc>
        <w:tc>
          <w:tcPr>
            <w:tcW w:w="0" w:type="auto"/>
            <w:tcBorders>
              <w:top w:val="single" w:sz="4" w:space="0" w:color="000000"/>
              <w:bottom w:val="single" w:sz="4" w:space="0" w:color="000000"/>
            </w:tcBorders>
          </w:tcPr>
          <w:p w14:paraId="38A8EE23" w14:textId="77777777" w:rsidR="003F4486" w:rsidRDefault="00AA064E">
            <w:pPr>
              <w:pStyle w:val="Compact"/>
            </w:pPr>
            <w:r>
              <w:rPr>
                <w:b/>
                <w:bCs/>
              </w:rPr>
              <w:t>Description</w:t>
            </w:r>
          </w:p>
        </w:tc>
      </w:tr>
      <w:tr w:rsidR="003F4486" w14:paraId="04AB0FD8" w14:textId="77777777" w:rsidTr="00B94798">
        <w:tc>
          <w:tcPr>
            <w:tcW w:w="0" w:type="auto"/>
            <w:tcBorders>
              <w:top w:val="single" w:sz="4" w:space="0" w:color="000000"/>
            </w:tcBorders>
          </w:tcPr>
          <w:p w14:paraId="62D21AF8" w14:textId="77777777" w:rsidR="003F4486" w:rsidRDefault="00AA064E">
            <w:pPr>
              <w:pStyle w:val="Compact"/>
            </w:pPr>
            <w:r>
              <w:rPr>
                <w:rStyle w:val="VerbatimChar"/>
              </w:rPr>
              <w:t>id</w:t>
            </w:r>
          </w:p>
        </w:tc>
        <w:tc>
          <w:tcPr>
            <w:tcW w:w="0" w:type="auto"/>
            <w:tcBorders>
              <w:top w:val="single" w:sz="4" w:space="0" w:color="000000"/>
            </w:tcBorders>
          </w:tcPr>
          <w:p w14:paraId="31618153" w14:textId="77777777" w:rsidR="003F4486" w:rsidRDefault="00AA064E">
            <w:pPr>
              <w:pStyle w:val="Compact"/>
            </w:pPr>
            <w:r>
              <w:t>Household ID</w:t>
            </w:r>
          </w:p>
        </w:tc>
      </w:tr>
      <w:tr w:rsidR="003F4486" w14:paraId="34389FE8" w14:textId="77777777">
        <w:tc>
          <w:tcPr>
            <w:tcW w:w="0" w:type="auto"/>
          </w:tcPr>
          <w:p w14:paraId="318B77E8" w14:textId="77777777" w:rsidR="003F4486" w:rsidRDefault="00AA064E">
            <w:pPr>
              <w:pStyle w:val="Compact"/>
            </w:pPr>
            <w:r>
              <w:rPr>
                <w:rStyle w:val="VerbatimChar"/>
              </w:rPr>
              <w:t>country</w:t>
            </w:r>
          </w:p>
        </w:tc>
        <w:tc>
          <w:tcPr>
            <w:tcW w:w="0" w:type="auto"/>
          </w:tcPr>
          <w:p w14:paraId="4E83E017" w14:textId="77777777" w:rsidR="003F4486" w:rsidRDefault="00AA064E">
            <w:pPr>
              <w:pStyle w:val="Compact"/>
            </w:pPr>
            <w:r>
              <w:t>Country in which Survey took place</w:t>
            </w:r>
          </w:p>
        </w:tc>
      </w:tr>
      <w:tr w:rsidR="003F4486" w14:paraId="4A224766" w14:textId="77777777">
        <w:tc>
          <w:tcPr>
            <w:tcW w:w="0" w:type="auto"/>
          </w:tcPr>
          <w:p w14:paraId="7B5B610B" w14:textId="77777777" w:rsidR="003F4486" w:rsidRDefault="00AA064E">
            <w:pPr>
              <w:pStyle w:val="Compact"/>
            </w:pPr>
            <w:r>
              <w:rPr>
                <w:rStyle w:val="VerbatimChar"/>
              </w:rPr>
              <w:t>assignment</w:t>
            </w:r>
          </w:p>
        </w:tc>
        <w:tc>
          <w:tcPr>
            <w:tcW w:w="0" w:type="auto"/>
          </w:tcPr>
          <w:p w14:paraId="7BA6D40F" w14:textId="77777777" w:rsidR="003F4486" w:rsidRDefault="00AA064E">
            <w:pPr>
              <w:pStyle w:val="Compact"/>
            </w:pPr>
            <w:r>
              <w:t xml:space="preserve">Whether the household was assigned to the </w:t>
            </w:r>
            <w:r>
              <w:rPr>
                <w:i/>
                <w:iCs/>
              </w:rPr>
              <w:t>Graduation</w:t>
            </w:r>
            <w:r>
              <w:t xml:space="preserve"> treatment. A numeric variable that is 1 if assigned to treatment, 0 if not.</w:t>
            </w:r>
          </w:p>
        </w:tc>
      </w:tr>
      <w:tr w:rsidR="003F4486" w14:paraId="378619E4" w14:textId="77777777">
        <w:tc>
          <w:tcPr>
            <w:tcW w:w="0" w:type="auto"/>
          </w:tcPr>
          <w:p w14:paraId="2019E8F3" w14:textId="77777777" w:rsidR="003F4486" w:rsidRDefault="00AA064E">
            <w:pPr>
              <w:pStyle w:val="Compact"/>
            </w:pPr>
            <w:proofErr w:type="spellStart"/>
            <w:r>
              <w:rPr>
                <w:rStyle w:val="VerbatimChar"/>
              </w:rPr>
              <w:t>ctotal_pcmonth_bsl</w:t>
            </w:r>
            <w:proofErr w:type="spellEnd"/>
          </w:p>
        </w:tc>
        <w:tc>
          <w:tcPr>
            <w:tcW w:w="0" w:type="auto"/>
          </w:tcPr>
          <w:p w14:paraId="1D0A8467" w14:textId="77777777" w:rsidR="003F4486" w:rsidRDefault="00AA064E">
            <w:pPr>
              <w:pStyle w:val="Compact"/>
            </w:pPr>
            <w:r>
              <w:t>Total monthly per capita consumption at baseline (2014 USD PPP)</w:t>
            </w:r>
          </w:p>
        </w:tc>
      </w:tr>
      <w:tr w:rsidR="003F4486" w14:paraId="4C5A1E2F" w14:textId="77777777">
        <w:tc>
          <w:tcPr>
            <w:tcW w:w="0" w:type="auto"/>
          </w:tcPr>
          <w:p w14:paraId="2E9C1BB1" w14:textId="77777777" w:rsidR="003F4486" w:rsidRDefault="00AA064E">
            <w:pPr>
              <w:pStyle w:val="Compact"/>
            </w:pPr>
            <w:proofErr w:type="spellStart"/>
            <w:r>
              <w:rPr>
                <w:rStyle w:val="VerbatimChar"/>
              </w:rPr>
              <w:t>ctotal_pcmonth_end</w:t>
            </w:r>
            <w:proofErr w:type="spellEnd"/>
          </w:p>
        </w:tc>
        <w:tc>
          <w:tcPr>
            <w:tcW w:w="0" w:type="auto"/>
          </w:tcPr>
          <w:p w14:paraId="35DF234D" w14:textId="77777777" w:rsidR="003F4486" w:rsidRDefault="00AA064E">
            <w:pPr>
              <w:pStyle w:val="Compact"/>
            </w:pPr>
            <w:r>
              <w:t>Total monthly per capita consumption at Endline 1 (2014 USD PPP)</w:t>
            </w:r>
          </w:p>
        </w:tc>
      </w:tr>
      <w:tr w:rsidR="003F4486" w14:paraId="26BC5ACA" w14:textId="77777777" w:rsidTr="00B94798">
        <w:tc>
          <w:tcPr>
            <w:tcW w:w="0" w:type="auto"/>
            <w:tcBorders>
              <w:bottom w:val="single" w:sz="4" w:space="0" w:color="000000"/>
            </w:tcBorders>
          </w:tcPr>
          <w:p w14:paraId="3844C96A" w14:textId="77777777" w:rsidR="003F4486" w:rsidRDefault="00AA064E">
            <w:pPr>
              <w:pStyle w:val="Compact"/>
            </w:pPr>
            <w:proofErr w:type="spellStart"/>
            <w:r>
              <w:rPr>
                <w:rStyle w:val="VerbatimChar"/>
              </w:rPr>
              <w:t>ctotal_pcmonth_fup</w:t>
            </w:r>
            <w:proofErr w:type="spellEnd"/>
          </w:p>
        </w:tc>
        <w:tc>
          <w:tcPr>
            <w:tcW w:w="0" w:type="auto"/>
            <w:tcBorders>
              <w:bottom w:val="single" w:sz="4" w:space="0" w:color="000000"/>
            </w:tcBorders>
          </w:tcPr>
          <w:p w14:paraId="41EFC744" w14:textId="77777777" w:rsidR="003F4486" w:rsidRDefault="00AA064E">
            <w:pPr>
              <w:pStyle w:val="Compact"/>
            </w:pPr>
            <w:r>
              <w:t>Total monthly per capita consumption at Endline 2 (2014 USD PPP)</w:t>
            </w:r>
          </w:p>
        </w:tc>
      </w:tr>
    </w:tbl>
    <w:p w14:paraId="007CA29C" w14:textId="77777777" w:rsidR="005B07E9" w:rsidRDefault="005B07E9">
      <w:pPr>
        <w:pStyle w:val="Heading2"/>
      </w:pPr>
      <w:bookmarkStart w:id="2" w:name="section"/>
    </w:p>
    <w:p w14:paraId="22F3BE1E" w14:textId="1B6EB0AD" w:rsidR="003F4486" w:rsidRDefault="00AA064E">
      <w:pPr>
        <w:pStyle w:val="Heading2"/>
      </w:pPr>
      <w:r>
        <w:t>2.1</w:t>
      </w:r>
    </w:p>
    <w:p w14:paraId="7BD14A5B" w14:textId="77777777" w:rsidR="003F4486" w:rsidRDefault="00AA064E">
      <w:pPr>
        <w:pStyle w:val="FirstParagraph"/>
      </w:pPr>
      <w:r>
        <w:t xml:space="preserve">Show </w:t>
      </w:r>
      <w:r>
        <w:rPr>
          <w:b/>
          <w:bCs/>
        </w:rPr>
        <w:t>two</w:t>
      </w:r>
      <w:r>
        <w:t xml:space="preserve"> histograms of “Total monthly per capita consumption at endline 1” (hereafter referred to as endline 1 consumption) in the same plot, side by side: one for the households assigned to treatment and another for the household assigned to control groups. Use the </w:t>
      </w:r>
      <w:proofErr w:type="spellStart"/>
      <w:r>
        <w:rPr>
          <w:rStyle w:val="VerbatimChar"/>
        </w:rPr>
        <w:t>facet_wrap</w:t>
      </w:r>
      <w:proofErr w:type="spellEnd"/>
      <w:r>
        <w:rPr>
          <w:rStyle w:val="VerbatimChar"/>
        </w:rPr>
        <w:t>()</w:t>
      </w:r>
      <w:r>
        <w:t xml:space="preserve"> layer in </w:t>
      </w:r>
      <w:proofErr w:type="spellStart"/>
      <w:r>
        <w:t>ggplot</w:t>
      </w:r>
      <w:proofErr w:type="spellEnd"/>
      <w:r>
        <w:t xml:space="preserve"> to make smaller multiples of the same type of geometry repeated for each group of a different variable. facets are different from geometry / scale / theme layers.</w:t>
      </w:r>
    </w:p>
    <w:p w14:paraId="271E6D83" w14:textId="77777777" w:rsidR="003F4486" w:rsidRDefault="00AA064E">
      <w:pPr>
        <w:pStyle w:val="BodyText"/>
      </w:pPr>
      <w:r>
        <w:t>The figure should be labelled properly, and the following is also recommended to make the figure professional:</w:t>
      </w:r>
    </w:p>
    <w:p w14:paraId="555BF628" w14:textId="77777777" w:rsidR="003F4486" w:rsidRDefault="00AA064E">
      <w:pPr>
        <w:pStyle w:val="Compact"/>
        <w:numPr>
          <w:ilvl w:val="0"/>
          <w:numId w:val="4"/>
        </w:numPr>
      </w:pPr>
      <w:r>
        <w:t xml:space="preserve">Similar to the previous problem set, try adjusting the histogram so that the bins do not appear to take on negative values, with </w:t>
      </w:r>
      <w:r>
        <w:rPr>
          <w:rStyle w:val="VerbatimChar"/>
        </w:rPr>
        <w:t>boundary = 0</w:t>
      </w:r>
      <w:r>
        <w:rPr>
          <w:rStyle w:val="FootnoteReference"/>
        </w:rPr>
        <w:footnoteReference w:id="3"/>
      </w:r>
      <w:r>
        <w:t>.</w:t>
      </w:r>
    </w:p>
    <w:p w14:paraId="43FF45E1" w14:textId="77777777" w:rsidR="003F4486" w:rsidRDefault="00AA064E">
      <w:pPr>
        <w:pStyle w:val="Compact"/>
        <w:numPr>
          <w:ilvl w:val="0"/>
          <w:numId w:val="4"/>
        </w:numPr>
      </w:pPr>
      <w:r>
        <w:lastRenderedPageBreak/>
        <w:t xml:space="preserve">You can also specify how finely binned you want the data to be by the </w:t>
      </w:r>
      <w:proofErr w:type="spellStart"/>
      <w:r>
        <w:rPr>
          <w:rStyle w:val="VerbatimChar"/>
        </w:rPr>
        <w:t>binwidth</w:t>
      </w:r>
      <w:proofErr w:type="spellEnd"/>
      <w:r>
        <w:t xml:space="preserve"> argument (for example </w:t>
      </w:r>
      <w:proofErr w:type="spellStart"/>
      <w:r>
        <w:rPr>
          <w:rStyle w:val="VerbatimChar"/>
        </w:rPr>
        <w:t>binwidth</w:t>
      </w:r>
      <w:proofErr w:type="spellEnd"/>
      <w:r>
        <w:rPr>
          <w:rStyle w:val="VerbatimChar"/>
        </w:rPr>
        <w:t xml:space="preserve"> = 20</w:t>
      </w:r>
      <w:r>
        <w:t xml:space="preserve"> means that each bin’s width is set to 20 units of the outcome).</w:t>
      </w:r>
      <w:r>
        <w:rPr>
          <w:rStyle w:val="FootnoteReference"/>
        </w:rPr>
        <w:footnoteReference w:id="4"/>
      </w:r>
    </w:p>
    <w:p w14:paraId="3328B16A" w14:textId="1639125E" w:rsidR="003F4486" w:rsidRDefault="00AA064E">
      <w:pPr>
        <w:pStyle w:val="Compact"/>
        <w:numPr>
          <w:ilvl w:val="0"/>
          <w:numId w:val="4"/>
        </w:numPr>
      </w:pPr>
      <w:r>
        <w:t xml:space="preserve">Finally, try showing </w:t>
      </w:r>
      <w:r>
        <w:rPr>
          <w:i/>
          <w:iCs/>
        </w:rPr>
        <w:t>fractions</w:t>
      </w:r>
      <w:r>
        <w:t xml:space="preserve"> instead of counts on the y-axis by setting the </w:t>
      </w:r>
      <w:r>
        <w:rPr>
          <w:rStyle w:val="VerbatimChar"/>
        </w:rPr>
        <w:t>y</w:t>
      </w:r>
      <w:r>
        <w:t xml:space="preserve"> aesthetic to </w:t>
      </w:r>
      <w:r>
        <w:rPr>
          <w:rStyle w:val="VerbatimChar"/>
        </w:rPr>
        <w:t>y = stat(width*density)</w:t>
      </w:r>
      <w:r>
        <w:t>. Showing fractions is better suited to compare the SATE because groups of different sample sizes will be converted to the same proportions</w:t>
      </w:r>
      <w:r w:rsidR="005B07E9">
        <w:t>.</w:t>
      </w:r>
    </w:p>
    <w:p w14:paraId="5FA19449" w14:textId="5857E25E" w:rsidR="005B07E9" w:rsidRDefault="005B07E9" w:rsidP="005B07E9">
      <w:pPr>
        <w:pStyle w:val="ListBullet"/>
        <w:numPr>
          <w:ilvl w:val="0"/>
          <w:numId w:val="0"/>
        </w:numPr>
        <w:ind w:left="1920" w:hanging="480"/>
      </w:pPr>
    </w:p>
    <w:tbl>
      <w:tblPr>
        <w:tblW w:w="7200" w:type="dxa"/>
        <w:tblInd w:w="720" w:type="dxa"/>
        <w:tblLayout w:type="fixed"/>
        <w:tblLook w:val="0400" w:firstRow="0" w:lastRow="0" w:firstColumn="0" w:lastColumn="0" w:noHBand="0" w:noVBand="1"/>
      </w:tblPr>
      <w:tblGrid>
        <w:gridCol w:w="7200"/>
      </w:tblGrid>
      <w:tr w:rsidR="005B07E9" w:rsidRPr="00D95E31" w14:paraId="2D334B24" w14:textId="77777777" w:rsidTr="00E702F4">
        <w:trPr>
          <w:trHeight w:val="432"/>
        </w:trPr>
        <w:tc>
          <w:tcPr>
            <w:tcW w:w="7200" w:type="dxa"/>
            <w:shd w:val="clear" w:color="auto" w:fill="FFF2CC"/>
            <w:tcMar>
              <w:top w:w="144" w:type="dxa"/>
              <w:left w:w="115" w:type="dxa"/>
              <w:bottom w:w="144" w:type="dxa"/>
              <w:right w:w="115" w:type="dxa"/>
            </w:tcMar>
          </w:tcPr>
          <w:p w14:paraId="0269BAE3" w14:textId="3A7C53B1" w:rsidR="005B07E9" w:rsidRPr="00D95E31" w:rsidRDefault="00D865F6" w:rsidP="00E702F4">
            <w:pPr>
              <w:pStyle w:val="BodyText"/>
            </w:pPr>
            <w:r>
              <w:rPr>
                <w:noProof/>
              </w:rPr>
              <w:drawing>
                <wp:inline distT="0" distB="0" distL="0" distR="0" wp14:anchorId="4EA37CA6" wp14:editId="65E322FD">
                  <wp:extent cx="4425950" cy="4425950"/>
                  <wp:effectExtent l="0" t="0" r="0" b="0"/>
                  <wp:docPr id="1132272174" name="Picture 1" descr="A graph of a number of pati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72174" name="Picture 1" descr="A graph of a number of patien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5950" cy="4425950"/>
                          </a:xfrm>
                          <a:prstGeom prst="rect">
                            <a:avLst/>
                          </a:prstGeom>
                        </pic:spPr>
                      </pic:pic>
                    </a:graphicData>
                  </a:graphic>
                </wp:inline>
              </w:drawing>
            </w:r>
          </w:p>
        </w:tc>
      </w:tr>
    </w:tbl>
    <w:p w14:paraId="3B2AFFD5" w14:textId="77777777" w:rsidR="003F4486" w:rsidRDefault="00AA064E">
      <w:pPr>
        <w:pStyle w:val="Heading2"/>
      </w:pPr>
      <w:bookmarkStart w:id="3" w:name="section-1"/>
      <w:bookmarkEnd w:id="2"/>
      <w:r>
        <w:t>2.2</w:t>
      </w:r>
    </w:p>
    <w:p w14:paraId="7BA55D6D" w14:textId="77777777" w:rsidR="003F4486" w:rsidRDefault="00AA064E">
      <w:pPr>
        <w:pStyle w:val="FirstParagraph"/>
      </w:pPr>
      <w:r>
        <w:t xml:space="preserve">The previous histogram showed the entire distribution of consumption with all six countries mixed together. Now we will create a table showing the average endline 1 consumption in </w:t>
      </w:r>
      <w:r>
        <w:rPr>
          <w:i/>
          <w:iCs/>
        </w:rPr>
        <w:t>each assignment group</w:t>
      </w:r>
      <w:r>
        <w:t xml:space="preserve"> in </w:t>
      </w:r>
      <w:r>
        <w:rPr>
          <w:i/>
          <w:iCs/>
        </w:rPr>
        <w:t>each country</w:t>
      </w:r>
      <w:r>
        <w:t>.</w:t>
      </w:r>
    </w:p>
    <w:p w14:paraId="11FE10A4" w14:textId="77777777" w:rsidR="003F4486" w:rsidRDefault="00AA064E">
      <w:pPr>
        <w:pStyle w:val="BodyText"/>
      </w:pPr>
      <w:r>
        <w:lastRenderedPageBreak/>
        <w:t xml:space="preserve">To do this, use </w:t>
      </w:r>
      <w:proofErr w:type="spellStart"/>
      <w:r>
        <w:rPr>
          <w:rStyle w:val="VerbatimChar"/>
        </w:rPr>
        <w:t>group_by</w:t>
      </w:r>
      <w:proofErr w:type="spellEnd"/>
      <w:r>
        <w:rPr>
          <w:rStyle w:val="VerbatimChar"/>
        </w:rPr>
        <w:t>()</w:t>
      </w:r>
      <w:r>
        <w:t xml:space="preserve"> and </w:t>
      </w:r>
      <w:r>
        <w:rPr>
          <w:rStyle w:val="VerbatimChar"/>
        </w:rPr>
        <w:t>summarize()</w:t>
      </w:r>
      <w:r>
        <w:t xml:space="preserve"> to and take the average of the endline 1 consumption variable in each of those 12 combinations. When doing this, make sure to handle missing data correctly:</w:t>
      </w:r>
    </w:p>
    <w:p w14:paraId="5AD128BC" w14:textId="77777777" w:rsidR="003F4486" w:rsidRDefault="00AA064E">
      <w:pPr>
        <w:pStyle w:val="Compact"/>
        <w:numPr>
          <w:ilvl w:val="0"/>
          <w:numId w:val="5"/>
        </w:numPr>
      </w:pPr>
      <w:r>
        <w:t xml:space="preserve">For some households, the consumption is not recorded because the respondent could not be reached. Missing values are labelled as </w:t>
      </w:r>
      <w:r>
        <w:rPr>
          <w:rStyle w:val="VerbatimChar"/>
        </w:rPr>
        <w:t>NA</w:t>
      </w:r>
      <w:r>
        <w:t xml:space="preserve"> in R. You can see which rows have missing values by running, e.g., </w:t>
      </w:r>
      <w:proofErr w:type="spellStart"/>
      <w:r>
        <w:rPr>
          <w:rStyle w:val="VerbatimChar"/>
        </w:rPr>
        <w:t>dat</w:t>
      </w:r>
      <w:proofErr w:type="spellEnd"/>
      <w:r>
        <w:rPr>
          <w:rStyle w:val="VerbatimChar"/>
        </w:rPr>
        <w:t xml:space="preserve"> |&gt; filter(is.na(</w:t>
      </w:r>
      <w:proofErr w:type="spellStart"/>
      <w:r>
        <w:rPr>
          <w:rStyle w:val="VerbatimChar"/>
        </w:rPr>
        <w:t>ctotal_pcmonth_fup</w:t>
      </w:r>
      <w:proofErr w:type="spellEnd"/>
      <w:r>
        <w:rPr>
          <w:rStyle w:val="VerbatimChar"/>
        </w:rPr>
        <w:t>))</w:t>
      </w:r>
      <w:r>
        <w:t>.</w:t>
      </w:r>
      <w:r>
        <w:br/>
      </w:r>
    </w:p>
    <w:p w14:paraId="2514A73D" w14:textId="77777777" w:rsidR="003F4486" w:rsidRDefault="00AA064E">
      <w:pPr>
        <w:pStyle w:val="Compact"/>
        <w:numPr>
          <w:ilvl w:val="0"/>
          <w:numId w:val="5"/>
        </w:numPr>
      </w:pPr>
      <w:r>
        <w:t xml:space="preserve">When taking summary statistics like means and standard deviations, we need to specify the function to </w:t>
      </w:r>
      <w:r>
        <w:rPr>
          <w:b/>
          <w:bCs/>
        </w:rPr>
        <w:t>remove missing values</w:t>
      </w:r>
      <w:r>
        <w:t xml:space="preserve"> from the data before taking the summary, otherwise the mean of a vector with at least one </w:t>
      </w:r>
      <w:r>
        <w:rPr>
          <w:rStyle w:val="VerbatimChar"/>
        </w:rPr>
        <w:t>NA</w:t>
      </w:r>
      <w:r>
        <w:t xml:space="preserve"> is also </w:t>
      </w:r>
      <w:r>
        <w:rPr>
          <w:rStyle w:val="VerbatimChar"/>
        </w:rPr>
        <w:t>NA</w:t>
      </w:r>
      <w:r>
        <w:t xml:space="preserve">. Do this by setting </w:t>
      </w:r>
      <w:r>
        <w:rPr>
          <w:rStyle w:val="VerbatimChar"/>
        </w:rPr>
        <w:t>na.rm = TRUE</w:t>
      </w:r>
      <w:r>
        <w:t xml:space="preserve"> within the </w:t>
      </w:r>
      <w:r>
        <w:rPr>
          <w:rStyle w:val="VerbatimChar"/>
        </w:rPr>
        <w:t>mean</w:t>
      </w:r>
      <w:r>
        <w:t xml:space="preserve"> function.</w:t>
      </w:r>
    </w:p>
    <w:p w14:paraId="24609B11" w14:textId="77777777" w:rsidR="003F4486" w:rsidRDefault="00AA064E">
      <w:pPr>
        <w:pStyle w:val="FirstParagraph"/>
      </w:pPr>
      <w:r>
        <w:t xml:space="preserve">All this should give you a summary </w:t>
      </w:r>
      <w:proofErr w:type="spellStart"/>
      <w:r>
        <w:t>tibble</w:t>
      </w:r>
      <w:proofErr w:type="spellEnd"/>
      <w:r>
        <w:t xml:space="preserve"> with 12 rows. (You do not need to show this output in the yellow box, but you will want to save this as its own object to use in the next question).</w:t>
      </w:r>
    </w:p>
    <w:p w14:paraId="53AB39AA" w14:textId="77777777" w:rsidR="005B07E9" w:rsidRDefault="00AA064E">
      <w:pPr>
        <w:pStyle w:val="BodyText"/>
      </w:pPr>
      <w:r>
        <w:t xml:space="preserve">Next, use </w:t>
      </w:r>
      <w:r>
        <w:rPr>
          <w:rStyle w:val="VerbatimChar"/>
        </w:rPr>
        <w:t>filter</w:t>
      </w:r>
      <w:r>
        <w:t xml:space="preserve"> and </w:t>
      </w:r>
      <w:proofErr w:type="spellStart"/>
      <w:r>
        <w:rPr>
          <w:rStyle w:val="VerbatimChar"/>
        </w:rPr>
        <w:t>left_join</w:t>
      </w:r>
      <w:proofErr w:type="spellEnd"/>
      <w:r>
        <w:t xml:space="preserve"> to create a table with only 6 rows, one for each country. </w:t>
      </w:r>
      <w:r>
        <w:rPr>
          <w:b/>
          <w:bCs/>
        </w:rPr>
        <w:t xml:space="preserve">Name this </w:t>
      </w:r>
      <w:proofErr w:type="spellStart"/>
      <w:r>
        <w:rPr>
          <w:rStyle w:val="VerbatimChar"/>
          <w:b/>
          <w:bCs/>
        </w:rPr>
        <w:t>c_avg</w:t>
      </w:r>
      <w:proofErr w:type="spellEnd"/>
      <w:r>
        <w:rPr>
          <w:b/>
          <w:bCs/>
        </w:rPr>
        <w:t xml:space="preserve"> for the </w:t>
      </w:r>
      <w:proofErr w:type="spellStart"/>
      <w:r>
        <w:rPr>
          <w:b/>
          <w:bCs/>
        </w:rPr>
        <w:t>autograder</w:t>
      </w:r>
      <w:proofErr w:type="spellEnd"/>
      <w:r>
        <w:rPr>
          <w:b/>
          <w:bCs/>
        </w:rPr>
        <w:t>.</w:t>
      </w:r>
      <w:r w:rsidR="005B07E9">
        <w:rPr>
          <w:b/>
          <w:bCs/>
        </w:rPr>
        <w:br/>
      </w:r>
    </w:p>
    <w:p w14:paraId="75CB27BA" w14:textId="1F00C46B" w:rsidR="005B07E9" w:rsidRDefault="00AA064E">
      <w:pPr>
        <w:pStyle w:val="BodyText"/>
        <w:numPr>
          <w:ilvl w:val="0"/>
          <w:numId w:val="13"/>
        </w:numPr>
      </w:pPr>
      <w:r>
        <w:t xml:space="preserve">There should be three columns (and no more than three): one column for country, one column for the per capita consumption in the control group, and another for that in the treatment group. </w:t>
      </w:r>
    </w:p>
    <w:p w14:paraId="29298EBA" w14:textId="08ED8613" w:rsidR="003F4486" w:rsidRDefault="00AA064E">
      <w:pPr>
        <w:pStyle w:val="BodyText"/>
        <w:numPr>
          <w:ilvl w:val="0"/>
          <w:numId w:val="13"/>
        </w:numPr>
      </w:pPr>
      <w:r>
        <w:t xml:space="preserve">Reproduce this table in the yellow box (either use </w:t>
      </w:r>
      <w:proofErr w:type="spellStart"/>
      <w:r>
        <w:rPr>
          <w:rStyle w:val="VerbatimChar"/>
        </w:rPr>
        <w:t>gt</w:t>
      </w:r>
      <w:proofErr w:type="spellEnd"/>
      <w:r>
        <w:rPr>
          <w:rStyle w:val="VerbatimChar"/>
        </w:rPr>
        <w:t>()</w:t>
      </w:r>
      <w:r>
        <w:t xml:space="preserve"> or a screenshot).</w:t>
      </w:r>
    </w:p>
    <w:p w14:paraId="3A554E36" w14:textId="1B3D2DF1" w:rsidR="003F4486" w:rsidRDefault="00AA064E">
      <w:pPr>
        <w:pStyle w:val="BodyText"/>
      </w:pPr>
      <w:r>
        <w:t>This sets your table up well to compute the sample average treatment effect within each country via difference-in-means of treatment.</w:t>
      </w:r>
    </w:p>
    <w:p w14:paraId="15184262" w14:textId="78B2436A" w:rsidR="005B07E9" w:rsidRDefault="005B07E9">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490C56E6" w14:textId="77777777" w:rsidTr="00E702F4">
        <w:trPr>
          <w:trHeight w:val="432"/>
        </w:trPr>
        <w:tc>
          <w:tcPr>
            <w:tcW w:w="7200" w:type="dxa"/>
            <w:shd w:val="clear" w:color="auto" w:fill="FFF2CC"/>
            <w:tcMar>
              <w:top w:w="144" w:type="dxa"/>
              <w:left w:w="115" w:type="dxa"/>
              <w:bottom w:w="144" w:type="dxa"/>
              <w:right w:w="115" w:type="dxa"/>
            </w:tcMar>
          </w:tcPr>
          <w:p w14:paraId="47C41953" w14:textId="4352D6B2" w:rsidR="005B07E9" w:rsidRPr="00D95E31" w:rsidRDefault="00AE294A" w:rsidP="00E702F4">
            <w:pPr>
              <w:pStyle w:val="BodyText"/>
            </w:pPr>
            <w:r>
              <w:rPr>
                <w:noProof/>
              </w:rPr>
              <w:lastRenderedPageBreak/>
              <w:drawing>
                <wp:inline distT="0" distB="0" distL="0" distR="0" wp14:anchorId="5C034E51" wp14:editId="622264AE">
                  <wp:extent cx="4425950" cy="3337560"/>
                  <wp:effectExtent l="0" t="0" r="0" b="0"/>
                  <wp:docPr id="82315994"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5994" name="Picture 6"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25950" cy="3337560"/>
                          </a:xfrm>
                          <a:prstGeom prst="rect">
                            <a:avLst/>
                          </a:prstGeom>
                        </pic:spPr>
                      </pic:pic>
                    </a:graphicData>
                  </a:graphic>
                </wp:inline>
              </w:drawing>
            </w:r>
          </w:p>
        </w:tc>
      </w:tr>
    </w:tbl>
    <w:p w14:paraId="69D1216E" w14:textId="77777777" w:rsidR="005B07E9" w:rsidRDefault="005B07E9">
      <w:pPr>
        <w:pStyle w:val="BodyText"/>
      </w:pPr>
    </w:p>
    <w:p w14:paraId="75A642E2" w14:textId="77777777" w:rsidR="003F4486" w:rsidRDefault="00AA064E">
      <w:pPr>
        <w:pStyle w:val="Heading2"/>
      </w:pPr>
      <w:bookmarkStart w:id="4" w:name="section-2"/>
      <w:bookmarkEnd w:id="3"/>
      <w:r>
        <w:t>2.3</w:t>
      </w:r>
    </w:p>
    <w:p w14:paraId="0660CD12" w14:textId="77777777" w:rsidR="003F4486" w:rsidRDefault="00AA064E">
      <w:pPr>
        <w:pStyle w:val="FirstParagraph"/>
      </w:pPr>
      <w:r>
        <w:t>Interpret the difference in means estimate for Peru substantively. In this class, by “interpret substantively”, we will mean providing an interpretation of the number in units that is understandable to a policymaker who is not well-versed in statistics and who has not seen the raw dataset. For example, something like this:</w:t>
      </w:r>
    </w:p>
    <w:p w14:paraId="4AA7CD7B" w14:textId="63D51F99" w:rsidR="003F4486" w:rsidRDefault="00AA064E">
      <w:pPr>
        <w:pStyle w:val="BlockText"/>
      </w:pPr>
      <w:r>
        <w:t>“The difference in means estimate for the call-back rate of a Black sounding name is -0.02. This means that compared to résumés with a White sounding name, the Black sounding name is 2 percentage points less likely to receive a call back.”</w:t>
      </w:r>
    </w:p>
    <w:p w14:paraId="022A25B3" w14:textId="25F4F3D5" w:rsidR="005B07E9" w:rsidRDefault="005B07E9" w:rsidP="005B07E9">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4092F01C" w14:textId="77777777" w:rsidTr="00E702F4">
        <w:trPr>
          <w:trHeight w:val="432"/>
        </w:trPr>
        <w:tc>
          <w:tcPr>
            <w:tcW w:w="7200" w:type="dxa"/>
            <w:shd w:val="clear" w:color="auto" w:fill="FFF2CC"/>
            <w:tcMar>
              <w:top w:w="144" w:type="dxa"/>
              <w:left w:w="115" w:type="dxa"/>
              <w:bottom w:w="144" w:type="dxa"/>
              <w:right w:w="115" w:type="dxa"/>
            </w:tcMar>
          </w:tcPr>
          <w:p w14:paraId="760BDFBB" w14:textId="7928CFEF" w:rsidR="005B07E9" w:rsidRPr="00D95E31" w:rsidRDefault="00FA7818" w:rsidP="00E702F4">
            <w:pPr>
              <w:pStyle w:val="BodyText"/>
            </w:pPr>
            <w:r>
              <w:t xml:space="preserve">The difference </w:t>
            </w:r>
            <w:r w:rsidR="0069771A">
              <w:t xml:space="preserve">in mean estimates of per capita consumption between control and treatment groups in Peru </w:t>
            </w:r>
            <w:r w:rsidR="002E378B">
              <w:t>at endline is</w:t>
            </w:r>
            <w:r w:rsidR="0069771A">
              <w:t xml:space="preserve"> </w:t>
            </w:r>
            <w:r w:rsidR="00C14EA6">
              <w:t>about $</w:t>
            </w:r>
            <w:r w:rsidR="00B155B9">
              <w:t xml:space="preserve">5. </w:t>
            </w:r>
            <w:r w:rsidR="000D487A">
              <w:t>This means that when compared to control group, those</w:t>
            </w:r>
            <w:r w:rsidR="004F21CC">
              <w:t xml:space="preserve"> </w:t>
            </w:r>
            <w:r w:rsidR="000D487A">
              <w:t xml:space="preserve">households </w:t>
            </w:r>
            <w:r w:rsidR="00001CD5">
              <w:t>that received the graduation program) group consumed $5 less per month on an average as per endline 1 estimates.</w:t>
            </w:r>
          </w:p>
        </w:tc>
      </w:tr>
    </w:tbl>
    <w:p w14:paraId="413B07E0" w14:textId="77777777" w:rsidR="005B07E9" w:rsidRPr="005B07E9" w:rsidRDefault="005B07E9" w:rsidP="005B07E9">
      <w:pPr>
        <w:pStyle w:val="BodyText"/>
      </w:pPr>
    </w:p>
    <w:p w14:paraId="2282CC64" w14:textId="77777777" w:rsidR="003F4486" w:rsidRDefault="00AA064E">
      <w:pPr>
        <w:pStyle w:val="Heading2"/>
      </w:pPr>
      <w:bookmarkStart w:id="5" w:name="section-3"/>
      <w:bookmarkEnd w:id="4"/>
      <w:r>
        <w:lastRenderedPageBreak/>
        <w:t>2.4</w:t>
      </w:r>
    </w:p>
    <w:p w14:paraId="0EE7D09A" w14:textId="77777777" w:rsidR="003F4486" w:rsidRDefault="00AA064E">
      <w:pPr>
        <w:pStyle w:val="FirstParagraph"/>
      </w:pPr>
      <w:r>
        <w:t xml:space="preserve">Present the same statistics of country-level means by treatment group as a </w:t>
      </w:r>
      <w:proofErr w:type="spellStart"/>
      <w:r>
        <w:t>barchart</w:t>
      </w:r>
      <w:proofErr w:type="spellEnd"/>
      <w:r>
        <w:t xml:space="preserve">. There should be 12 bars (6 countries, 2 groups). Let’s spend some time making this </w:t>
      </w:r>
      <w:proofErr w:type="spellStart"/>
      <w:r>
        <w:t>barchart</w:t>
      </w:r>
      <w:proofErr w:type="spellEnd"/>
      <w:r>
        <w:t xml:space="preserve"> presentable:</w:t>
      </w:r>
    </w:p>
    <w:p w14:paraId="6E3A673A" w14:textId="77777777" w:rsidR="003F4486" w:rsidRDefault="00AA064E">
      <w:pPr>
        <w:pStyle w:val="Compact"/>
        <w:numPr>
          <w:ilvl w:val="0"/>
          <w:numId w:val="6"/>
        </w:numPr>
      </w:pPr>
      <w:r>
        <w:t>The bars should come in pairs: a pair of bars for each country, side-by-side.</w:t>
      </w:r>
    </w:p>
    <w:p w14:paraId="5197209E" w14:textId="77777777" w:rsidR="003F4486" w:rsidRDefault="00AA064E">
      <w:pPr>
        <w:pStyle w:val="Compact"/>
        <w:numPr>
          <w:ilvl w:val="0"/>
          <w:numId w:val="6"/>
        </w:numPr>
      </w:pPr>
      <w:r>
        <w:t>Color the bars by treatment group, e.g. control is gray and treatment is dark green. Label the legend too, so that the control is labelled “Control” and not merely “0”, etc..</w:t>
      </w:r>
    </w:p>
    <w:p w14:paraId="678A4B5D" w14:textId="1CE39726" w:rsidR="003F4486" w:rsidRDefault="00AA064E">
      <w:pPr>
        <w:pStyle w:val="Compact"/>
        <w:numPr>
          <w:ilvl w:val="0"/>
          <w:numId w:val="6"/>
        </w:numPr>
      </w:pPr>
      <w:r>
        <w:t>Axes should be labelled with human-readable titles.</w:t>
      </w:r>
    </w:p>
    <w:p w14:paraId="757E88B1" w14:textId="124ED4CE" w:rsidR="005B07E9" w:rsidRDefault="005B07E9" w:rsidP="005B07E9">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558A0135" w14:textId="77777777" w:rsidTr="00E702F4">
        <w:trPr>
          <w:trHeight w:val="432"/>
        </w:trPr>
        <w:tc>
          <w:tcPr>
            <w:tcW w:w="7200" w:type="dxa"/>
            <w:shd w:val="clear" w:color="auto" w:fill="FFF2CC"/>
            <w:tcMar>
              <w:top w:w="144" w:type="dxa"/>
              <w:left w:w="115" w:type="dxa"/>
              <w:bottom w:w="144" w:type="dxa"/>
              <w:right w:w="115" w:type="dxa"/>
            </w:tcMar>
          </w:tcPr>
          <w:p w14:paraId="3CE5C381" w14:textId="73FC9C93" w:rsidR="005B07E9" w:rsidRPr="00D95E31" w:rsidRDefault="00140AAB" w:rsidP="00E702F4">
            <w:pPr>
              <w:pStyle w:val="BodyText"/>
            </w:pPr>
            <w:r w:rsidRPr="00140AAB">
              <w:rPr>
                <w:noProof/>
              </w:rPr>
              <w:drawing>
                <wp:inline distT="0" distB="0" distL="0" distR="0" wp14:anchorId="3D0F9EA0" wp14:editId="1B453745">
                  <wp:extent cx="4425950" cy="2793365"/>
                  <wp:effectExtent l="0" t="0" r="0" b="6985"/>
                  <wp:docPr id="1855170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0826" name=""/>
                          <pic:cNvPicPr/>
                        </pic:nvPicPr>
                        <pic:blipFill>
                          <a:blip r:embed="rId10"/>
                          <a:stretch>
                            <a:fillRect/>
                          </a:stretch>
                        </pic:blipFill>
                        <pic:spPr>
                          <a:xfrm>
                            <a:off x="0" y="0"/>
                            <a:ext cx="4425950" cy="2793365"/>
                          </a:xfrm>
                          <a:prstGeom prst="rect">
                            <a:avLst/>
                          </a:prstGeom>
                        </pic:spPr>
                      </pic:pic>
                    </a:graphicData>
                  </a:graphic>
                </wp:inline>
              </w:drawing>
            </w:r>
          </w:p>
        </w:tc>
      </w:tr>
    </w:tbl>
    <w:p w14:paraId="46D388DA" w14:textId="77777777" w:rsidR="00C542FF" w:rsidRDefault="00C542FF">
      <w:pPr>
        <w:pStyle w:val="BodyText"/>
      </w:pPr>
    </w:p>
    <w:p w14:paraId="3F7A0E9E" w14:textId="757FE726" w:rsidR="003F4486" w:rsidRDefault="00AA064E">
      <w:pPr>
        <w:pStyle w:val="BodyText"/>
      </w:pPr>
      <w:r>
        <w:t xml:space="preserve">For a figure like this, using the “long” shaped dataset is more amenable than a wide dataset with treatment groups sorted across columns. This is why the long format is what </w:t>
      </w:r>
      <w:proofErr w:type="spellStart"/>
      <w:r>
        <w:t>tidyverse</w:t>
      </w:r>
      <w:proofErr w:type="spellEnd"/>
      <w:r>
        <w:t xml:space="preserve"> refers to as “tidy data”.</w:t>
      </w:r>
    </w:p>
    <w:p w14:paraId="12972942" w14:textId="4A96E6E6" w:rsidR="00D86462" w:rsidRDefault="00D86462">
      <w:pPr>
        <w:rPr>
          <w:rFonts w:cs="Times New Roman"/>
        </w:rPr>
      </w:pPr>
      <w:r>
        <w:br w:type="page"/>
      </w:r>
    </w:p>
    <w:p w14:paraId="488FA973" w14:textId="77777777" w:rsidR="003F4486" w:rsidRDefault="00AA064E">
      <w:pPr>
        <w:pStyle w:val="Heading1"/>
      </w:pPr>
      <w:bookmarkStart w:id="6" w:name="problem-3"/>
      <w:bookmarkEnd w:id="1"/>
      <w:bookmarkEnd w:id="5"/>
      <w:r>
        <w:lastRenderedPageBreak/>
        <w:t>Problem 3</w:t>
      </w:r>
    </w:p>
    <w:p w14:paraId="4A6489C0" w14:textId="77777777" w:rsidR="003F4486" w:rsidRDefault="00AA064E">
      <w:pPr>
        <w:pStyle w:val="FirstParagraph"/>
      </w:pPr>
      <w:r>
        <w:t>We will now report the treatment effect via linear regression.</w:t>
      </w:r>
    </w:p>
    <w:p w14:paraId="0E0576F3" w14:textId="77777777" w:rsidR="003F4486" w:rsidRDefault="00AA064E">
      <w:pPr>
        <w:pStyle w:val="Heading2"/>
      </w:pPr>
      <w:bookmarkStart w:id="7" w:name="section-4"/>
      <w:r>
        <w:t>3.1</w:t>
      </w:r>
    </w:p>
    <w:p w14:paraId="02B106D9" w14:textId="11F94106" w:rsidR="003F4486" w:rsidRDefault="00AA064E">
      <w:pPr>
        <w:pStyle w:val="FirstParagraph"/>
      </w:pPr>
      <w:r>
        <w:t xml:space="preserve">Run a single regression equation regressing the outcome on the treatment </w:t>
      </w:r>
      <w:r w:rsidR="00A453C7">
        <w:t xml:space="preserve">assignment </w:t>
      </w:r>
      <w:r>
        <w:t xml:space="preserve">in the </w:t>
      </w:r>
      <w:r w:rsidRPr="00CA4C42">
        <w:t>Peru</w:t>
      </w:r>
      <w:r>
        <w:t xml:space="preserve"> subset of the data. </w:t>
      </w:r>
      <w:r w:rsidRPr="00CA4C42">
        <w:rPr>
          <w:b/>
          <w:bCs/>
        </w:rPr>
        <w:t xml:space="preserve">Name this object </w:t>
      </w:r>
      <w:proofErr w:type="spellStart"/>
      <w:r w:rsidRPr="00CA4C42">
        <w:rPr>
          <w:rStyle w:val="VerbatimChar"/>
          <w:b/>
          <w:bCs/>
        </w:rPr>
        <w:t>fit_peru</w:t>
      </w:r>
      <w:proofErr w:type="spellEnd"/>
      <w:r w:rsidRPr="00CA4C42">
        <w:rPr>
          <w:b/>
          <w:bCs/>
        </w:rPr>
        <w:t xml:space="preserve"> for the </w:t>
      </w:r>
      <w:proofErr w:type="spellStart"/>
      <w:r w:rsidRPr="00CA4C42">
        <w:rPr>
          <w:b/>
          <w:bCs/>
        </w:rPr>
        <w:t>autograder</w:t>
      </w:r>
      <w:proofErr w:type="spellEnd"/>
      <w:r>
        <w:t>. Report the coefficient estimate, and whether you can verify that your conclusion matches from that of the previous difference in means.</w:t>
      </w:r>
    </w:p>
    <w:p w14:paraId="0DF02DCB" w14:textId="52196E7B" w:rsidR="005B07E9" w:rsidRDefault="005B07E9" w:rsidP="005B07E9">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40D2B197" w14:textId="77777777" w:rsidTr="00E702F4">
        <w:trPr>
          <w:trHeight w:val="432"/>
        </w:trPr>
        <w:tc>
          <w:tcPr>
            <w:tcW w:w="7200" w:type="dxa"/>
            <w:shd w:val="clear" w:color="auto" w:fill="FFF2CC"/>
            <w:tcMar>
              <w:top w:w="144" w:type="dxa"/>
              <w:left w:w="115" w:type="dxa"/>
              <w:bottom w:w="144" w:type="dxa"/>
              <w:right w:w="115" w:type="dxa"/>
            </w:tcMar>
          </w:tcPr>
          <w:p w14:paraId="36504779" w14:textId="6698257A" w:rsidR="005B07E9" w:rsidRPr="00D95E31" w:rsidRDefault="00477127" w:rsidP="00E702F4">
            <w:pPr>
              <w:pStyle w:val="BodyText"/>
            </w:pPr>
            <w:r>
              <w:t xml:space="preserve">The coefficient estimate for the </w:t>
            </w:r>
            <w:r w:rsidR="00950383">
              <w:t xml:space="preserve">regression equation is -4.466. </w:t>
            </w:r>
            <w:r w:rsidR="00242FC7">
              <w:t xml:space="preserve">This verifies the conclusion that matches </w:t>
            </w:r>
            <w:r w:rsidR="00832A28">
              <w:t>from the previous difference in means in the table above. W</w:t>
            </w:r>
            <w:r w:rsidR="005D6ED6">
              <w:t xml:space="preserve">hile we can </w:t>
            </w:r>
            <w:r w:rsidR="00166C2A">
              <w:t>verify</w:t>
            </w:r>
            <w:r w:rsidR="005D6ED6">
              <w:t xml:space="preserve"> that per capita consumption of treatment group is </w:t>
            </w:r>
            <w:r w:rsidR="00ED3EEE">
              <w:t>about $5 lesser than control group</w:t>
            </w:r>
            <w:r w:rsidR="00EA2FDC">
              <w:t xml:space="preserve"> at endline 1</w:t>
            </w:r>
            <w:r w:rsidR="00ED3EEE">
              <w:t>, these results are not significan</w:t>
            </w:r>
            <w:r w:rsidR="0096039F">
              <w:t>t</w:t>
            </w:r>
          </w:p>
        </w:tc>
      </w:tr>
    </w:tbl>
    <w:p w14:paraId="34B04531" w14:textId="77777777" w:rsidR="005B07E9" w:rsidRPr="005B07E9" w:rsidRDefault="005B07E9" w:rsidP="005B07E9">
      <w:pPr>
        <w:pStyle w:val="BodyText"/>
      </w:pPr>
    </w:p>
    <w:p w14:paraId="5C6059A5" w14:textId="77777777" w:rsidR="003F4486" w:rsidRDefault="00AA064E">
      <w:pPr>
        <w:pStyle w:val="Heading2"/>
      </w:pPr>
      <w:bookmarkStart w:id="8" w:name="section-5"/>
      <w:bookmarkEnd w:id="7"/>
      <w:r>
        <w:t>3.2</w:t>
      </w:r>
    </w:p>
    <w:p w14:paraId="775BEC3A" w14:textId="35327D5D" w:rsidR="003F4486" w:rsidRDefault="00AA064E">
      <w:pPr>
        <w:pStyle w:val="FirstParagraph"/>
      </w:pPr>
      <w:r>
        <w:t xml:space="preserve">Use the </w:t>
      </w:r>
      <w:proofErr w:type="spellStart"/>
      <w:r>
        <w:rPr>
          <w:rStyle w:val="VerbatimChar"/>
        </w:rPr>
        <w:t>modelsummary</w:t>
      </w:r>
      <w:proofErr w:type="spellEnd"/>
      <w:r>
        <w:t xml:space="preserve"> package to create a regression table with six columns, one for each country. The table should show the SATE, intercept, and sample size of each country. The standard errors of each coefficient will be shown in parentheses – you should keep them, but don’t worry about interpreting these for now if you are unfamiliar. Do not display summary statistics other than the sample.</w:t>
      </w:r>
    </w:p>
    <w:p w14:paraId="1A46C3F7" w14:textId="27D8A8CF" w:rsidR="005B07E9" w:rsidRDefault="005B07E9" w:rsidP="005B07E9">
      <w:pPr>
        <w:pStyle w:val="BodyText"/>
      </w:pPr>
    </w:p>
    <w:tbl>
      <w:tblPr>
        <w:tblW w:w="7200" w:type="dxa"/>
        <w:tblInd w:w="720" w:type="dxa"/>
        <w:tblLayout w:type="fixed"/>
        <w:tblLook w:val="0400" w:firstRow="0" w:lastRow="0" w:firstColumn="0" w:lastColumn="0" w:noHBand="0" w:noVBand="1"/>
      </w:tblPr>
      <w:tblGrid>
        <w:gridCol w:w="7200"/>
      </w:tblGrid>
      <w:tr w:rsidR="005B07E9" w:rsidRPr="00D95E31" w14:paraId="1EAC0B59" w14:textId="77777777" w:rsidTr="00E702F4">
        <w:trPr>
          <w:trHeight w:val="432"/>
        </w:trPr>
        <w:tc>
          <w:tcPr>
            <w:tcW w:w="7200" w:type="dxa"/>
            <w:shd w:val="clear" w:color="auto" w:fill="FFF2CC"/>
            <w:tcMar>
              <w:top w:w="144" w:type="dxa"/>
              <w:left w:w="115" w:type="dxa"/>
              <w:bottom w:w="144" w:type="dxa"/>
              <w:right w:w="115" w:type="dxa"/>
            </w:tcMar>
          </w:tcPr>
          <w:p w14:paraId="091C5315" w14:textId="0A108F3B" w:rsidR="005B07E9" w:rsidRPr="00D95E31" w:rsidRDefault="00C24DCB" w:rsidP="00E702F4">
            <w:pPr>
              <w:pStyle w:val="BodyText"/>
            </w:pPr>
            <w:r>
              <w:rPr>
                <w:noProof/>
              </w:rPr>
              <w:drawing>
                <wp:inline distT="0" distB="0" distL="0" distR="0" wp14:anchorId="38537A2A" wp14:editId="725FA857">
                  <wp:extent cx="4425950" cy="2105660"/>
                  <wp:effectExtent l="0" t="0" r="0" b="8890"/>
                  <wp:docPr id="345047478"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47478" name="Picture 7"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5950" cy="2105660"/>
                          </a:xfrm>
                          <a:prstGeom prst="rect">
                            <a:avLst/>
                          </a:prstGeom>
                        </pic:spPr>
                      </pic:pic>
                    </a:graphicData>
                  </a:graphic>
                </wp:inline>
              </w:drawing>
            </w:r>
          </w:p>
        </w:tc>
      </w:tr>
    </w:tbl>
    <w:p w14:paraId="3DD0CB04" w14:textId="77777777" w:rsidR="005B07E9" w:rsidRPr="005B07E9" w:rsidRDefault="005B07E9" w:rsidP="005B07E9">
      <w:pPr>
        <w:pStyle w:val="BodyText"/>
      </w:pPr>
    </w:p>
    <w:p w14:paraId="1C826362" w14:textId="77777777" w:rsidR="003F4486" w:rsidRDefault="00AA064E">
      <w:pPr>
        <w:pStyle w:val="Heading2"/>
      </w:pPr>
      <w:bookmarkStart w:id="9" w:name="section-6"/>
      <w:bookmarkEnd w:id="8"/>
      <w:r>
        <w:lastRenderedPageBreak/>
        <w:t>3.3</w:t>
      </w:r>
    </w:p>
    <w:p w14:paraId="512B793F" w14:textId="3591E4F4" w:rsidR="003F4486" w:rsidRDefault="00AA064E">
      <w:pPr>
        <w:pStyle w:val="FirstParagraph"/>
      </w:pPr>
      <w:r>
        <w:t>Imagine a critic who sees your regression results and complains that you should not be estimating treatment effects by linear regression because the distribution of income is clearly skewed and not normally distributed, as shown by the histogram you showed first. How would you respond?</w:t>
      </w:r>
    </w:p>
    <w:p w14:paraId="390936EA" w14:textId="318C7EE2" w:rsidR="00B800B8" w:rsidRDefault="00B800B8" w:rsidP="00B800B8">
      <w:pPr>
        <w:pStyle w:val="BodyText"/>
      </w:pPr>
    </w:p>
    <w:tbl>
      <w:tblPr>
        <w:tblW w:w="7200" w:type="dxa"/>
        <w:tblInd w:w="720" w:type="dxa"/>
        <w:tblLayout w:type="fixed"/>
        <w:tblLook w:val="0400" w:firstRow="0" w:lastRow="0" w:firstColumn="0" w:lastColumn="0" w:noHBand="0" w:noVBand="1"/>
      </w:tblPr>
      <w:tblGrid>
        <w:gridCol w:w="7200"/>
      </w:tblGrid>
      <w:tr w:rsidR="00B800B8" w:rsidRPr="00D95E31" w14:paraId="58399AE4" w14:textId="77777777" w:rsidTr="00E702F4">
        <w:trPr>
          <w:trHeight w:val="432"/>
        </w:trPr>
        <w:tc>
          <w:tcPr>
            <w:tcW w:w="7200" w:type="dxa"/>
            <w:shd w:val="clear" w:color="auto" w:fill="FFF2CC"/>
            <w:tcMar>
              <w:top w:w="144" w:type="dxa"/>
              <w:left w:w="115" w:type="dxa"/>
              <w:bottom w:w="144" w:type="dxa"/>
              <w:right w:w="115" w:type="dxa"/>
            </w:tcMar>
          </w:tcPr>
          <w:p w14:paraId="1EA87652" w14:textId="315B3EE6" w:rsidR="00B800B8" w:rsidRDefault="004035FB" w:rsidP="004035FB">
            <w:pPr>
              <w:pStyle w:val="BodyText"/>
              <w:numPr>
                <w:ilvl w:val="0"/>
                <w:numId w:val="14"/>
              </w:numPr>
            </w:pPr>
            <w:r>
              <w:t>Large enough sample size</w:t>
            </w:r>
            <w:r w:rsidR="00275FFD">
              <w:t xml:space="preserve"> </w:t>
            </w:r>
            <w:r w:rsidR="00B975F5">
              <w:t>–</w:t>
            </w:r>
            <w:r w:rsidR="00447762">
              <w:t xml:space="preserve"> </w:t>
            </w:r>
            <w:r w:rsidR="00B975F5">
              <w:t xml:space="preserve">A large enough sample size for each country that is </w:t>
            </w:r>
            <w:r w:rsidR="0054596D">
              <w:t xml:space="preserve">significant </w:t>
            </w:r>
            <w:r w:rsidR="00136999">
              <w:t xml:space="preserve">can </w:t>
            </w:r>
            <w:r w:rsidR="009C3DBA">
              <w:t xml:space="preserve">reduce the impact of </w:t>
            </w:r>
            <w:r w:rsidR="00C62746">
              <w:t xml:space="preserve">a not so normally distributed income variable. </w:t>
            </w:r>
          </w:p>
          <w:p w14:paraId="59319391" w14:textId="29FBFCC7" w:rsidR="004035FB" w:rsidRDefault="00CD6F20" w:rsidP="003A0192">
            <w:pPr>
              <w:pStyle w:val="BodyText"/>
              <w:numPr>
                <w:ilvl w:val="0"/>
                <w:numId w:val="14"/>
              </w:numPr>
            </w:pPr>
            <w:r>
              <w:t>Log transformation</w:t>
            </w:r>
            <w:r w:rsidR="00447762">
              <w:t xml:space="preserve"> </w:t>
            </w:r>
            <w:r w:rsidR="000324C5">
              <w:t>–</w:t>
            </w:r>
            <w:r w:rsidR="00447762">
              <w:t xml:space="preserve"> </w:t>
            </w:r>
            <w:r w:rsidR="000324C5">
              <w:t xml:space="preserve">We can also transform the income variable </w:t>
            </w:r>
            <w:r w:rsidR="00A7551D">
              <w:t xml:space="preserve">through logarithmic transformations </w:t>
            </w:r>
            <w:r w:rsidR="00A210D6">
              <w:t xml:space="preserve">which can make it more </w:t>
            </w:r>
            <w:r w:rsidR="00C06DE1">
              <w:t>symmetric</w:t>
            </w:r>
            <w:r w:rsidR="00A210D6">
              <w:t xml:space="preserve"> and </w:t>
            </w:r>
            <w:r w:rsidR="00C06DE1">
              <w:t>normally distributed</w:t>
            </w:r>
          </w:p>
          <w:p w14:paraId="4882AD27" w14:textId="29E5EC2D" w:rsidR="00430E28" w:rsidRPr="00D95E31" w:rsidRDefault="00430E28" w:rsidP="003A0192">
            <w:pPr>
              <w:pStyle w:val="BodyText"/>
              <w:numPr>
                <w:ilvl w:val="0"/>
                <w:numId w:val="14"/>
              </w:numPr>
            </w:pPr>
            <w:r>
              <w:t>Randomi</w:t>
            </w:r>
            <w:r w:rsidR="00904E42">
              <w:t>z</w:t>
            </w:r>
            <w:r>
              <w:t>ation</w:t>
            </w:r>
            <w:r w:rsidR="00447762">
              <w:t xml:space="preserve"> </w:t>
            </w:r>
            <w:r w:rsidR="007B2000">
              <w:t>–</w:t>
            </w:r>
            <w:r w:rsidR="00447762">
              <w:t xml:space="preserve"> </w:t>
            </w:r>
            <w:r w:rsidR="007B2000">
              <w:t xml:space="preserve">Even though the income </w:t>
            </w:r>
            <w:r w:rsidR="00846998">
              <w:t xml:space="preserve">variable is not normally distributed, since the treatment assignment is </w:t>
            </w:r>
            <w:proofErr w:type="spellStart"/>
            <w:r w:rsidR="00846998">
              <w:t>randome</w:t>
            </w:r>
            <w:proofErr w:type="spellEnd"/>
            <w:r w:rsidR="00846998">
              <w:t xml:space="preserve">, this will ensure that the control and treatment groups are similar in all characteristics. </w:t>
            </w:r>
            <w:r w:rsidR="00EF1282">
              <w:t xml:space="preserve">Through this randomization, we can arrive at causal inferences. </w:t>
            </w:r>
          </w:p>
        </w:tc>
      </w:tr>
    </w:tbl>
    <w:p w14:paraId="75EC6FB4" w14:textId="77777777" w:rsidR="00B800B8" w:rsidRPr="00B800B8" w:rsidRDefault="00B800B8" w:rsidP="00B800B8">
      <w:pPr>
        <w:pStyle w:val="BodyText"/>
      </w:pPr>
    </w:p>
    <w:p w14:paraId="0C719C6F" w14:textId="77777777" w:rsidR="00C44AFD" w:rsidRDefault="00C44AFD">
      <w:pPr>
        <w:rPr>
          <w:rFonts w:ascii="Helvetica Neue" w:eastAsiaTheme="majorEastAsia" w:hAnsi="Helvetica Neue" w:cstheme="majorBidi"/>
          <w:b/>
          <w:bCs/>
          <w:color w:val="1F497D" w:themeColor="text2"/>
          <w:sz w:val="28"/>
          <w:szCs w:val="32"/>
        </w:rPr>
      </w:pPr>
      <w:bookmarkStart w:id="10" w:name="tips"/>
      <w:bookmarkEnd w:id="6"/>
      <w:bookmarkEnd w:id="9"/>
      <w:r>
        <w:br w:type="page"/>
      </w:r>
    </w:p>
    <w:p w14:paraId="0BD74D24" w14:textId="7B48AFD6" w:rsidR="003F4486" w:rsidRDefault="00126F12">
      <w:pPr>
        <w:pStyle w:val="Heading1"/>
      </w:pPr>
      <w:r>
        <w:lastRenderedPageBreak/>
        <w:t>Hint</w:t>
      </w:r>
    </w:p>
    <w:p w14:paraId="5DB71D17" w14:textId="77777777" w:rsidR="003F4486" w:rsidRDefault="00AA064E">
      <w:pPr>
        <w:pStyle w:val="Heading2"/>
      </w:pPr>
      <w:bookmarkStart w:id="11" w:name="problem-1-1"/>
      <w:r>
        <w:t>Problem 1</w:t>
      </w:r>
    </w:p>
    <w:p w14:paraId="54E3F257" w14:textId="3E552A18" w:rsidR="003F4486" w:rsidRDefault="00CF5B0D">
      <w:pPr>
        <w:pStyle w:val="FirstParagraph"/>
      </w:pPr>
      <w:r>
        <w:t xml:space="preserve">Answering this problem confidently requires knowing the mathematical properties of Expectation in statistics. Specifically, expectation is a linear operator such that </w:t>
      </w:r>
      <m:oMath>
        <m:r>
          <w:rPr>
            <w:rFonts w:ascii="Cambria Math" w:hAnsi="Cambria Math"/>
          </w:rPr>
          <m:t>E</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Y</m:t>
            </m:r>
          </m:e>
        </m:d>
      </m:oMath>
      <w:r>
        <w:t xml:space="preserve"> for any random variables </w:t>
      </w:r>
      <m:oMath>
        <m:r>
          <w:rPr>
            <w:rFonts w:ascii="Cambria Math" w:hAnsi="Cambria Math"/>
          </w:rPr>
          <m:t>X</m:t>
        </m:r>
      </m:oMath>
      <w:r>
        <w:t xml:space="preserve"> and </w:t>
      </w:r>
      <m:oMath>
        <m:r>
          <w:rPr>
            <w:rFonts w:ascii="Cambria Math" w:hAnsi="Cambria Math"/>
          </w:rPr>
          <m:t>Y</m:t>
        </m:r>
      </m:oMath>
      <w:r>
        <w:t xml:space="preserve">. Also, expectation affects only random variables, such that if </w:t>
      </w:r>
      <m:oMath>
        <m:r>
          <w:rPr>
            <w:rFonts w:ascii="Cambria Math" w:hAnsi="Cambria Math"/>
          </w:rPr>
          <m:t>a</m:t>
        </m:r>
      </m:oMath>
      <w:r>
        <w:t xml:space="preserve"> is a constant, </w:t>
      </w:r>
      <m:oMath>
        <m:r>
          <w:rPr>
            <w:rFonts w:ascii="Cambria Math" w:hAnsi="Cambria Math"/>
          </w:rPr>
          <m:t>E</m:t>
        </m:r>
        <m:d>
          <m:dPr>
            <m:ctrlPr>
              <w:rPr>
                <w:rFonts w:ascii="Cambria Math" w:hAnsi="Cambria Math"/>
              </w:rPr>
            </m:ctrlPr>
          </m:dPr>
          <m:e>
            <m:r>
              <w:rPr>
                <w:rFonts w:ascii="Cambria Math" w:hAnsi="Cambria Math"/>
              </w:rPr>
              <m:t>a</m:t>
            </m:r>
          </m:e>
        </m:d>
        <m:r>
          <m:rPr>
            <m:sty m:val="p"/>
          </m:rPr>
          <w:rPr>
            <w:rFonts w:ascii="Cambria Math" w:hAnsi="Cambria Math"/>
          </w:rPr>
          <m:t>=</m:t>
        </m:r>
        <m:r>
          <w:rPr>
            <w:rFonts w:ascii="Cambria Math" w:hAnsi="Cambria Math"/>
          </w:rPr>
          <m:t>a</m:t>
        </m:r>
      </m:oMath>
      <w:r>
        <w:t xml:space="preserve">. For a condensed summary of expectation in the context of this problem, read 1.1 of </w:t>
      </w:r>
      <w:r>
        <w:rPr>
          <w:i/>
          <w:iCs/>
        </w:rPr>
        <w:t>Mastering Metrics</w:t>
      </w:r>
      <w:r>
        <w:t xml:space="preserve"> carefully. If you have not encountered this in your past statistics classes, that’s ok, but please still attempt to provide a verbal reasoning. We will not remove points for errors in math. This type of understanding is not the modal assessment in this course, but some statements like this in our text is important.</w:t>
      </w:r>
    </w:p>
    <w:p w14:paraId="47D4DE87" w14:textId="77777777" w:rsidR="003F4486" w:rsidRDefault="00AA064E">
      <w:pPr>
        <w:pStyle w:val="Heading2"/>
      </w:pPr>
      <w:bookmarkStart w:id="12" w:name="problem-2-1"/>
      <w:bookmarkEnd w:id="11"/>
      <w:r>
        <w:t>Problem 2</w:t>
      </w:r>
    </w:p>
    <w:p w14:paraId="4C69C299" w14:textId="77777777" w:rsidR="003F4486" w:rsidRDefault="00AA064E">
      <w:pPr>
        <w:pStyle w:val="Heading3"/>
      </w:pPr>
      <w:bookmarkStart w:id="13" w:name="section-7"/>
      <w:r>
        <w:t>2.1</w:t>
      </w:r>
    </w:p>
    <w:p w14:paraId="105B5475" w14:textId="77777777" w:rsidR="003F4486" w:rsidRDefault="00AA064E">
      <w:pPr>
        <w:pStyle w:val="Compact"/>
        <w:numPr>
          <w:ilvl w:val="0"/>
          <w:numId w:val="7"/>
        </w:numPr>
      </w:pPr>
      <w:r>
        <w:t xml:space="preserve">Some examples of </w:t>
      </w:r>
      <w:proofErr w:type="spellStart"/>
      <w:r>
        <w:rPr>
          <w:rStyle w:val="VerbatimChar"/>
        </w:rPr>
        <w:t>facet_wrap</w:t>
      </w:r>
      <w:proofErr w:type="spellEnd"/>
      <w:r>
        <w:rPr>
          <w:rStyle w:val="VerbatimChar"/>
        </w:rPr>
        <w:t>()</w:t>
      </w:r>
      <w:r>
        <w:t xml:space="preserve"> are in the web version of the help page website: </w:t>
      </w:r>
      <w:hyperlink r:id="rId12">
        <w:r>
          <w:rPr>
            <w:rStyle w:val="Hyperlink"/>
          </w:rPr>
          <w:t>https://ggplot2.tidyverse.org/reference/facet_wrap.html</w:t>
        </w:r>
      </w:hyperlink>
    </w:p>
    <w:p w14:paraId="1AC3BD0F" w14:textId="77777777" w:rsidR="003F4486" w:rsidRDefault="00AA064E">
      <w:pPr>
        <w:pStyle w:val="Compact"/>
        <w:numPr>
          <w:ilvl w:val="0"/>
          <w:numId w:val="7"/>
        </w:numPr>
      </w:pPr>
      <w:r>
        <w:t xml:space="preserve">Some examples of small multiples and how it can be an effective visualization tool are discussed in Fundamentals of Data Visualization </w:t>
      </w:r>
      <w:proofErr w:type="spellStart"/>
      <w:r>
        <w:t>ch.</w:t>
      </w:r>
      <w:proofErr w:type="spellEnd"/>
      <w:r>
        <w:t xml:space="preserve"> 21 </w:t>
      </w:r>
      <w:hyperlink r:id="rId13">
        <w:r>
          <w:rPr>
            <w:rStyle w:val="Hyperlink"/>
          </w:rPr>
          <w:t>https://clauswilke.com/dataviz/multi-panel-figures.html</w:t>
        </w:r>
      </w:hyperlink>
    </w:p>
    <w:p w14:paraId="6238B6E6" w14:textId="77777777" w:rsidR="003F4486" w:rsidRDefault="00AA064E">
      <w:pPr>
        <w:pStyle w:val="Heading3"/>
      </w:pPr>
      <w:bookmarkStart w:id="14" w:name="section-8"/>
      <w:bookmarkEnd w:id="13"/>
      <w:r>
        <w:t>2.2</w:t>
      </w:r>
    </w:p>
    <w:p w14:paraId="34CD7637" w14:textId="77777777" w:rsidR="003F4486" w:rsidRDefault="00AA064E">
      <w:pPr>
        <w:pStyle w:val="Compact"/>
        <w:numPr>
          <w:ilvl w:val="0"/>
          <w:numId w:val="8"/>
        </w:numPr>
      </w:pPr>
      <w:r>
        <w:t xml:space="preserve">When you join, remember that you want to join countries together, but nothing else. You will need to specify this in the </w:t>
      </w:r>
      <w:r>
        <w:rPr>
          <w:rStyle w:val="VerbatimChar"/>
        </w:rPr>
        <w:t>by</w:t>
      </w:r>
      <w:r>
        <w:t xml:space="preserve"> argument.</w:t>
      </w:r>
    </w:p>
    <w:p w14:paraId="493CDB98" w14:textId="77777777" w:rsidR="003F4486" w:rsidRDefault="00AA064E">
      <w:pPr>
        <w:pStyle w:val="Compact"/>
        <w:numPr>
          <w:ilvl w:val="0"/>
          <w:numId w:val="8"/>
        </w:numPr>
      </w:pPr>
      <w:r>
        <w:t xml:space="preserve">Suppose dataset </w:t>
      </w:r>
      <w:r>
        <w:rPr>
          <w:rStyle w:val="VerbatimChar"/>
        </w:rPr>
        <w:t>X</w:t>
      </w:r>
      <w:r>
        <w:t xml:space="preserve"> has columns </w:t>
      </w:r>
      <w:r>
        <w:rPr>
          <w:rStyle w:val="VerbatimChar"/>
        </w:rPr>
        <w:t>a</w:t>
      </w:r>
      <w:r>
        <w:t xml:space="preserve">, </w:t>
      </w:r>
      <w:r>
        <w:rPr>
          <w:rStyle w:val="VerbatimChar"/>
        </w:rPr>
        <w:t>b</w:t>
      </w:r>
      <w:r>
        <w:t xml:space="preserve"> and dataset </w:t>
      </w:r>
      <w:r>
        <w:rPr>
          <w:rStyle w:val="VerbatimChar"/>
        </w:rPr>
        <w:t>Y</w:t>
      </w:r>
      <w:r>
        <w:t xml:space="preserve"> has columns </w:t>
      </w:r>
      <w:r>
        <w:rPr>
          <w:rStyle w:val="VerbatimChar"/>
        </w:rPr>
        <w:t>a</w:t>
      </w:r>
      <w:r>
        <w:t xml:space="preserve">, </w:t>
      </w:r>
      <w:r>
        <w:rPr>
          <w:rStyle w:val="VerbatimChar"/>
        </w:rPr>
        <w:t>b</w:t>
      </w:r>
      <w:r>
        <w:t xml:space="preserve">, if we left join </w:t>
      </w:r>
      <w:r>
        <w:rPr>
          <w:rStyle w:val="VerbatimChar"/>
        </w:rPr>
        <w:t>X</w:t>
      </w:r>
      <w:r>
        <w:t xml:space="preserve"> and </w:t>
      </w:r>
      <w:r>
        <w:rPr>
          <w:rStyle w:val="VerbatimChar"/>
        </w:rPr>
        <w:t>Y</w:t>
      </w:r>
      <w:r>
        <w:t xml:space="preserve"> by the only by </w:t>
      </w:r>
      <w:r>
        <w:rPr>
          <w:rStyle w:val="VerbatimChar"/>
        </w:rPr>
        <w:t>a</w:t>
      </w:r>
      <w:r>
        <w:t xml:space="preserve">, then we will get a </w:t>
      </w:r>
      <w:proofErr w:type="spellStart"/>
      <w:r>
        <w:t>dataframe</w:t>
      </w:r>
      <w:proofErr w:type="spellEnd"/>
      <w:r>
        <w:t xml:space="preserve"> that has columns </w:t>
      </w:r>
      <w:r>
        <w:rPr>
          <w:rStyle w:val="VerbatimChar"/>
        </w:rPr>
        <w:t>a</w:t>
      </w:r>
      <w:r>
        <w:t xml:space="preserve">, </w:t>
      </w:r>
      <w:proofErr w:type="spellStart"/>
      <w:r>
        <w:rPr>
          <w:rStyle w:val="VerbatimChar"/>
        </w:rPr>
        <w:t>b.x</w:t>
      </w:r>
      <w:proofErr w:type="spellEnd"/>
      <w:r>
        <w:t xml:space="preserve"> (for the b variable from the left hand side) and </w:t>
      </w:r>
      <w:proofErr w:type="spellStart"/>
      <w:r>
        <w:rPr>
          <w:rStyle w:val="VerbatimChar"/>
        </w:rPr>
        <w:t>b.y</w:t>
      </w:r>
      <w:proofErr w:type="spellEnd"/>
      <w:r>
        <w:t xml:space="preserve">. You will want to rename the two using </w:t>
      </w:r>
      <w:r>
        <w:rPr>
          <w:rStyle w:val="VerbatimChar"/>
        </w:rPr>
        <w:t>rename</w:t>
      </w:r>
      <w:r>
        <w:t xml:space="preserve"> or </w:t>
      </w:r>
      <w:r>
        <w:rPr>
          <w:rStyle w:val="VerbatimChar"/>
        </w:rPr>
        <w:t>select</w:t>
      </w:r>
      <w:r>
        <w:t xml:space="preserve"> to make clear which one is control and which one is treatment. </w:t>
      </w:r>
      <w:r>
        <w:rPr>
          <w:rStyle w:val="VerbatimChar"/>
        </w:rPr>
        <w:t>.x</w:t>
      </w:r>
      <w:r>
        <w:t xml:space="preserve"> and </w:t>
      </w:r>
      <w:r>
        <w:rPr>
          <w:rStyle w:val="VerbatimChar"/>
        </w:rPr>
        <w:t>.y</w:t>
      </w:r>
      <w:r>
        <w:t xml:space="preserve"> are the default suffixes that are put on but you can change them with the </w:t>
      </w:r>
      <w:r>
        <w:rPr>
          <w:rStyle w:val="VerbatimChar"/>
        </w:rPr>
        <w:t>suffix</w:t>
      </w:r>
      <w:r>
        <w:t xml:space="preserve"> argument in </w:t>
      </w:r>
      <w:proofErr w:type="spellStart"/>
      <w:r>
        <w:rPr>
          <w:rStyle w:val="VerbatimChar"/>
        </w:rPr>
        <w:t>left_join</w:t>
      </w:r>
      <w:proofErr w:type="spellEnd"/>
      <w:r>
        <w:t>.</w:t>
      </w:r>
      <w:r>
        <w:br/>
      </w:r>
    </w:p>
    <w:p w14:paraId="3EC1383A" w14:textId="77777777" w:rsidR="003F4486" w:rsidRDefault="00AA064E">
      <w:pPr>
        <w:pStyle w:val="Compact"/>
        <w:numPr>
          <w:ilvl w:val="0"/>
          <w:numId w:val="8"/>
        </w:numPr>
      </w:pPr>
      <w:r>
        <w:t xml:space="preserve">If you apply </w:t>
      </w:r>
      <w:proofErr w:type="spellStart"/>
      <w:r>
        <w:rPr>
          <w:rStyle w:val="VerbatimChar"/>
        </w:rPr>
        <w:t>gt</w:t>
      </w:r>
      <w:proofErr w:type="spellEnd"/>
      <w:r>
        <w:rPr>
          <w:rStyle w:val="VerbatimChar"/>
        </w:rPr>
        <w:t>()</w:t>
      </w:r>
      <w:r>
        <w:t xml:space="preserve"> to a grouped dataset, it will by default produce </w:t>
      </w:r>
      <w:proofErr w:type="spellStart"/>
      <w:r>
        <w:t>subtables</w:t>
      </w:r>
      <w:proofErr w:type="spellEnd"/>
      <w:r>
        <w:t xml:space="preserve"> by group. While this is sometimes helpful, it is not here. If your </w:t>
      </w:r>
      <w:proofErr w:type="spellStart"/>
      <w:r>
        <w:t>tibble</w:t>
      </w:r>
      <w:proofErr w:type="spellEnd"/>
      <w:r>
        <w:t xml:space="preserve"> is grouped and you want to use </w:t>
      </w:r>
      <w:proofErr w:type="spellStart"/>
      <w:r>
        <w:rPr>
          <w:rStyle w:val="VerbatimChar"/>
        </w:rPr>
        <w:t>gt</w:t>
      </w:r>
      <w:proofErr w:type="spellEnd"/>
      <w:r>
        <w:rPr>
          <w:rStyle w:val="VerbatimChar"/>
        </w:rPr>
        <w:t>()</w:t>
      </w:r>
      <w:r>
        <w:t xml:space="preserve"> on it, ungroup the </w:t>
      </w:r>
      <w:proofErr w:type="spellStart"/>
      <w:r>
        <w:t>tibble</w:t>
      </w:r>
      <w:proofErr w:type="spellEnd"/>
      <w:r>
        <w:t xml:space="preserve"> first by applying </w:t>
      </w:r>
      <w:r>
        <w:rPr>
          <w:rStyle w:val="VerbatimChar"/>
        </w:rPr>
        <w:t>ungroup()</w:t>
      </w:r>
      <w:r>
        <w:t>.</w:t>
      </w:r>
    </w:p>
    <w:p w14:paraId="1596D307" w14:textId="77777777" w:rsidR="003F4486" w:rsidRDefault="00AA064E">
      <w:pPr>
        <w:pStyle w:val="Compact"/>
        <w:numPr>
          <w:ilvl w:val="0"/>
          <w:numId w:val="8"/>
        </w:numPr>
      </w:pPr>
      <w:r>
        <w:t xml:space="preserve">An alternative way to make this 6-row table, is to use </w:t>
      </w:r>
      <w:proofErr w:type="spellStart"/>
      <w:r>
        <w:rPr>
          <w:rStyle w:val="VerbatimChar"/>
        </w:rPr>
        <w:t>pivot_wider</w:t>
      </w:r>
      <w:proofErr w:type="spellEnd"/>
      <w:r>
        <w:rPr>
          <w:rStyle w:val="VerbatimChar"/>
        </w:rPr>
        <w:t>()</w:t>
      </w:r>
      <w:r>
        <w:t xml:space="preserve">. If taking this route, you will want to reshape the </w:t>
      </w:r>
      <w:proofErr w:type="spellStart"/>
      <w:r>
        <w:t>tibble</w:t>
      </w:r>
      <w:proofErr w:type="spellEnd"/>
      <w:r>
        <w:t xml:space="preserve"> into a “wide” table with 6 rows, one for each country.</w:t>
      </w:r>
    </w:p>
    <w:p w14:paraId="562A71BC" w14:textId="77777777" w:rsidR="003F4486" w:rsidRDefault="00AA064E">
      <w:pPr>
        <w:pStyle w:val="Compact"/>
        <w:numPr>
          <w:ilvl w:val="0"/>
          <w:numId w:val="8"/>
        </w:numPr>
      </w:pPr>
      <w:proofErr w:type="spellStart"/>
      <w:r>
        <w:rPr>
          <w:rStyle w:val="VerbatimChar"/>
        </w:rPr>
        <w:t>pivot_wider</w:t>
      </w:r>
      <w:proofErr w:type="spellEnd"/>
      <w:r>
        <w:rPr>
          <w:rStyle w:val="VerbatimChar"/>
        </w:rPr>
        <w:t>()</w:t>
      </w:r>
      <w:r>
        <w:t xml:space="preserve"> is a common function changing the shape of a dataset from long to wide format, and we will be using it even more when we get to panel data in week 6. In this case it will not change the information in the dataset but it will rearrange the cells. The Imai and Williams textbook chapter 2 has various examples of using </w:t>
      </w:r>
      <w:proofErr w:type="spellStart"/>
      <w:r>
        <w:rPr>
          <w:rStyle w:val="VerbatimChar"/>
        </w:rPr>
        <w:t>pivot_wider</w:t>
      </w:r>
      <w:proofErr w:type="spellEnd"/>
      <w:r>
        <w:rPr>
          <w:rStyle w:val="VerbatimChar"/>
        </w:rPr>
        <w:t>()</w:t>
      </w:r>
      <w:r>
        <w:t xml:space="preserve">. A full example can be read through the help page or the website: </w:t>
      </w:r>
      <w:hyperlink r:id="rId14">
        <w:r>
          <w:rPr>
            <w:rStyle w:val="Hyperlink"/>
          </w:rPr>
          <w:t>https://tidyr.tidyverse.org/reference/pivot_wider.html</w:t>
        </w:r>
      </w:hyperlink>
      <w:r>
        <w:t>.</w:t>
      </w:r>
    </w:p>
    <w:p w14:paraId="355A09FF" w14:textId="77777777" w:rsidR="003F4486" w:rsidRDefault="00AA064E">
      <w:pPr>
        <w:pStyle w:val="Heading3"/>
      </w:pPr>
      <w:bookmarkStart w:id="15" w:name="section-9"/>
      <w:bookmarkEnd w:id="14"/>
      <w:r>
        <w:t>2.4</w:t>
      </w:r>
    </w:p>
    <w:p w14:paraId="5A3E472A" w14:textId="77777777" w:rsidR="003F4486" w:rsidRDefault="00AA064E">
      <w:pPr>
        <w:pStyle w:val="Compact"/>
        <w:numPr>
          <w:ilvl w:val="0"/>
          <w:numId w:val="9"/>
        </w:numPr>
      </w:pPr>
      <w:r>
        <w:t xml:space="preserve">To dodge bars by a variable that is not the x-axis, specify the </w:t>
      </w:r>
      <w:r>
        <w:rPr>
          <w:rStyle w:val="VerbatimChar"/>
        </w:rPr>
        <w:t>position</w:t>
      </w:r>
      <w:r>
        <w:t xml:space="preserve"> argument within the </w:t>
      </w:r>
      <w:proofErr w:type="spellStart"/>
      <w:r>
        <w:rPr>
          <w:rStyle w:val="VerbatimChar"/>
        </w:rPr>
        <w:t>geom_col</w:t>
      </w:r>
      <w:proofErr w:type="spellEnd"/>
      <w:r>
        <w:rPr>
          <w:rStyle w:val="VerbatimChar"/>
        </w:rPr>
        <w:t>()</w:t>
      </w:r>
      <w:r>
        <w:t xml:space="preserve"> geom. In the full list of </w:t>
      </w:r>
      <w:proofErr w:type="spellStart"/>
      <w:r>
        <w:t>ggplot</w:t>
      </w:r>
      <w:proofErr w:type="spellEnd"/>
      <w:r>
        <w:t xml:space="preserve"> functions </w:t>
      </w:r>
      <w:hyperlink r:id="rId15">
        <w:r>
          <w:rPr>
            <w:rStyle w:val="Hyperlink"/>
          </w:rPr>
          <w:t>https://ggplot2.tidyverse.org/reference/index.html</w:t>
        </w:r>
      </w:hyperlink>
      <w:r>
        <w:t xml:space="preserve">, find the set of functions that start with </w:t>
      </w:r>
      <w:r>
        <w:rPr>
          <w:rStyle w:val="VerbatimChar"/>
        </w:rPr>
        <w:t>position_</w:t>
      </w:r>
      <w:r>
        <w:t xml:space="preserve"> and look for the one that dodges the bars by a variable.</w:t>
      </w:r>
    </w:p>
    <w:p w14:paraId="223CF3B2" w14:textId="77777777" w:rsidR="003F4486" w:rsidRDefault="00AA064E">
      <w:pPr>
        <w:pStyle w:val="Compact"/>
        <w:numPr>
          <w:ilvl w:val="0"/>
          <w:numId w:val="9"/>
        </w:numPr>
      </w:pPr>
      <w:r>
        <w:t xml:space="preserve">Use the layer </w:t>
      </w:r>
      <w:proofErr w:type="spellStart"/>
      <w:r>
        <w:rPr>
          <w:rStyle w:val="VerbatimChar"/>
        </w:rPr>
        <w:t>scale_fill_manual</w:t>
      </w:r>
      <w:proofErr w:type="spellEnd"/>
      <w:r>
        <w:t xml:space="preserve"> to manually set a fill color for each value of the data.</w:t>
      </w:r>
    </w:p>
    <w:p w14:paraId="175DBA8D" w14:textId="77777777" w:rsidR="003F4486" w:rsidRDefault="00AA064E">
      <w:pPr>
        <w:pStyle w:val="Compact"/>
        <w:numPr>
          <w:ilvl w:val="0"/>
          <w:numId w:val="9"/>
        </w:numPr>
      </w:pPr>
      <w:r>
        <w:t xml:space="preserve">Like the previous problem set, inside the </w:t>
      </w:r>
      <w:proofErr w:type="spellStart"/>
      <w:r>
        <w:rPr>
          <w:rStyle w:val="VerbatimChar"/>
        </w:rPr>
        <w:t>scale_fill_manual</w:t>
      </w:r>
      <w:proofErr w:type="spellEnd"/>
      <w:r>
        <w:t xml:space="preserve">, you can also specify the labels for each color. In addition to the </w:t>
      </w:r>
      <w:r>
        <w:rPr>
          <w:rStyle w:val="VerbatimChar"/>
        </w:rPr>
        <w:t>values</w:t>
      </w:r>
      <w:r>
        <w:t xml:space="preserve"> argument, you can specify a </w:t>
      </w:r>
      <w:r>
        <w:rPr>
          <w:rStyle w:val="VerbatimChar"/>
        </w:rPr>
        <w:t>labels</w:t>
      </w:r>
      <w:r>
        <w:t xml:space="preserve"> argument in exactly the same way, except now the colors are replaced by labels for the colors in the legend.</w:t>
      </w:r>
    </w:p>
    <w:p w14:paraId="01CA6042" w14:textId="77777777" w:rsidR="003F4486" w:rsidRDefault="00AA064E">
      <w:pPr>
        <w:pStyle w:val="Heading2"/>
      </w:pPr>
      <w:bookmarkStart w:id="16" w:name="problem-3-1"/>
      <w:bookmarkEnd w:id="12"/>
      <w:bookmarkEnd w:id="15"/>
      <w:r>
        <w:t>Problem 3</w:t>
      </w:r>
    </w:p>
    <w:p w14:paraId="4BDB7DD2" w14:textId="77777777" w:rsidR="003F4486" w:rsidRDefault="00AA064E">
      <w:pPr>
        <w:pStyle w:val="Heading3"/>
      </w:pPr>
      <w:bookmarkStart w:id="17" w:name="section-10"/>
      <w:r>
        <w:t>3.1</w:t>
      </w:r>
    </w:p>
    <w:p w14:paraId="3E76C3D3" w14:textId="77777777" w:rsidR="003F4486" w:rsidRDefault="00AA064E">
      <w:pPr>
        <w:pStyle w:val="Compact"/>
        <w:numPr>
          <w:ilvl w:val="0"/>
          <w:numId w:val="10"/>
        </w:numPr>
      </w:pPr>
      <w:r>
        <w:t>To check that you did your regression right, you can check that your reported treatment effect matches with your table above.</w:t>
      </w:r>
    </w:p>
    <w:p w14:paraId="6D433AA9" w14:textId="77777777" w:rsidR="003F4486" w:rsidRDefault="00AA064E">
      <w:pPr>
        <w:pStyle w:val="Compact"/>
        <w:numPr>
          <w:ilvl w:val="0"/>
          <w:numId w:val="10"/>
        </w:numPr>
      </w:pPr>
      <w:r>
        <w:t>Remember to subset your dataset so that you only estimate the SATE within Peru</w:t>
      </w:r>
    </w:p>
    <w:p w14:paraId="472E4A66" w14:textId="77777777" w:rsidR="003F4486" w:rsidRDefault="00AA064E">
      <w:pPr>
        <w:pStyle w:val="Heading3"/>
      </w:pPr>
      <w:bookmarkStart w:id="18" w:name="section-11"/>
      <w:bookmarkEnd w:id="17"/>
      <w:r>
        <w:t>3.2</w:t>
      </w:r>
    </w:p>
    <w:p w14:paraId="55E8FF33" w14:textId="77777777" w:rsidR="003F4486" w:rsidRDefault="00AA064E">
      <w:pPr>
        <w:pStyle w:val="Compact"/>
        <w:numPr>
          <w:ilvl w:val="0"/>
          <w:numId w:val="11"/>
        </w:numPr>
      </w:pPr>
      <w:r>
        <w:t xml:space="preserve">The </w:t>
      </w:r>
      <w:proofErr w:type="spellStart"/>
      <w:r>
        <w:rPr>
          <w:rStyle w:val="VerbatimChar"/>
        </w:rPr>
        <w:t>modelsummary</w:t>
      </w:r>
      <w:proofErr w:type="spellEnd"/>
      <w:r>
        <w:t xml:space="preserve"> package is one of several R packages that offer to turn regression output into tables, and can create them into tables in HTML, plain text, MS Word, or LaTeX. The package website </w:t>
      </w:r>
      <w:hyperlink r:id="rId16">
        <w:r>
          <w:rPr>
            <w:rStyle w:val="Hyperlink"/>
          </w:rPr>
          <w:t>https://vincentarelbundock.github.io/modelsummary/articles/modelsummary.html</w:t>
        </w:r>
      </w:hyperlink>
      <w:r>
        <w:t xml:space="preserve"> has some helpful examples.</w:t>
      </w:r>
    </w:p>
    <w:p w14:paraId="669320B1" w14:textId="17CC86B9" w:rsidR="003F4486" w:rsidRDefault="00AA064E">
      <w:pPr>
        <w:pStyle w:val="Compact"/>
        <w:numPr>
          <w:ilvl w:val="0"/>
          <w:numId w:val="11"/>
        </w:numPr>
      </w:pPr>
      <w:r>
        <w:t xml:space="preserve">When showing multiple regression objects as columns of a table, </w:t>
      </w:r>
      <w:proofErr w:type="spellStart"/>
      <w:r>
        <w:rPr>
          <w:rStyle w:val="VerbatimChar"/>
        </w:rPr>
        <w:t>modelsummary</w:t>
      </w:r>
      <w:proofErr w:type="spellEnd"/>
      <w:r>
        <w:t xml:space="preserve"> needs all the objects to be bundled together. R does this most generally by what is called a “list”, using the </w:t>
      </w:r>
      <w:r>
        <w:rPr>
          <w:rStyle w:val="VerbatimChar"/>
        </w:rPr>
        <w:t>list</w:t>
      </w:r>
      <w:r>
        <w:t xml:space="preserve"> function. This is similar to a vector using the </w:t>
      </w:r>
      <w:r>
        <w:rPr>
          <w:rStyle w:val="VerbatimChar"/>
        </w:rPr>
        <w:t>c</w:t>
      </w:r>
      <w:r>
        <w:t xml:space="preserve"> function (e.g. </w:t>
      </w:r>
      <w:r>
        <w:rPr>
          <w:rStyle w:val="VerbatimChar"/>
        </w:rPr>
        <w:t>c("A", "B", "C")</w:t>
      </w:r>
      <w:r>
        <w:t>) but lists can be a combination of more complex and heterogeneous objects that are not numbers of characters.</w:t>
      </w:r>
      <w:r w:rsidR="006A1484">
        <w:t xml:space="preserve"> The item of each list can be named by using the left </w:t>
      </w:r>
      <w:proofErr w:type="spellStart"/>
      <w:r w:rsidR="006A1484">
        <w:t>handside</w:t>
      </w:r>
      <w:proofErr w:type="spellEnd"/>
      <w:r w:rsidR="006A1484">
        <w:t xml:space="preserve"> of an equals operator, e.g. </w:t>
      </w:r>
      <w:r>
        <w:t xml:space="preserve"> </w:t>
      </w:r>
      <w:r w:rsidR="006A1484">
        <w:rPr>
          <w:rStyle w:val="VerbatimChar"/>
        </w:rPr>
        <w:t xml:space="preserve">list(Ethiopia = </w:t>
      </w:r>
      <w:proofErr w:type="spellStart"/>
      <w:r w:rsidR="006A1484">
        <w:rPr>
          <w:rStyle w:val="VerbatimChar"/>
        </w:rPr>
        <w:t>fit_eth</w:t>
      </w:r>
      <w:proofErr w:type="spellEnd"/>
      <w:r w:rsidR="006A1484">
        <w:rPr>
          <w:rStyle w:val="VerbatimChar"/>
        </w:rPr>
        <w:t xml:space="preserve">, Peru = </w:t>
      </w:r>
      <w:proofErr w:type="spellStart"/>
      <w:r w:rsidR="006A1484">
        <w:rPr>
          <w:rStyle w:val="VerbatimChar"/>
        </w:rPr>
        <w:t>fit_peru</w:t>
      </w:r>
      <w:proofErr w:type="spellEnd"/>
      <w:r w:rsidR="006A1484">
        <w:rPr>
          <w:rStyle w:val="VerbatimChar"/>
        </w:rPr>
        <w:t>)</w:t>
      </w:r>
      <w:r w:rsidR="006A1484">
        <w:t>) .</w:t>
      </w:r>
      <w:r>
        <w:t xml:space="preserve">The first example in the </w:t>
      </w:r>
      <w:proofErr w:type="spellStart"/>
      <w:r>
        <w:t>modelsummary</w:t>
      </w:r>
      <w:proofErr w:type="spellEnd"/>
      <w:r>
        <w:t xml:space="preserve"> website linked above has an example.</w:t>
      </w:r>
      <w:r w:rsidR="006A1484">
        <w:t xml:space="preserve"> </w:t>
      </w:r>
    </w:p>
    <w:p w14:paraId="355A05FC" w14:textId="77777777" w:rsidR="003F4486" w:rsidRDefault="00AA064E">
      <w:pPr>
        <w:pStyle w:val="Compact"/>
        <w:numPr>
          <w:ilvl w:val="0"/>
          <w:numId w:val="11"/>
        </w:numPr>
      </w:pPr>
      <w:proofErr w:type="spellStart"/>
      <w:r>
        <w:rPr>
          <w:rStyle w:val="VerbatimChar"/>
        </w:rPr>
        <w:t>modelsummary</w:t>
      </w:r>
      <w:proofErr w:type="spellEnd"/>
      <w:r>
        <w:t xml:space="preserve"> reports a couple of diagnostic statistics in each column as a default but many of these diagnostics are rarely interpreted in a paper. To remove everything but the sample size, you can add an argument </w:t>
      </w:r>
      <w:proofErr w:type="spellStart"/>
      <w:r>
        <w:rPr>
          <w:rStyle w:val="VerbatimChar"/>
        </w:rPr>
        <w:t>gof_map</w:t>
      </w:r>
      <w:proofErr w:type="spellEnd"/>
      <w:r>
        <w:rPr>
          <w:rStyle w:val="VerbatimChar"/>
        </w:rPr>
        <w:t xml:space="preserve"> = "nobs"</w:t>
      </w:r>
      <w:r>
        <w:t xml:space="preserve"> to your </w:t>
      </w:r>
      <w:proofErr w:type="spellStart"/>
      <w:r>
        <w:t>modelsummary</w:t>
      </w:r>
      <w:proofErr w:type="spellEnd"/>
      <w:r>
        <w:t xml:space="preserve"> function. GOF is the package author’s abbreviation for goodness of fit, and </w:t>
      </w:r>
      <w:r>
        <w:rPr>
          <w:rStyle w:val="VerbatimChar"/>
        </w:rPr>
        <w:t>"nobs"</w:t>
      </w:r>
      <w:r>
        <w:t xml:space="preserve"> indicates the number of observations in the table.</w:t>
      </w:r>
    </w:p>
    <w:p w14:paraId="59A46CA9" w14:textId="77777777" w:rsidR="003F4486" w:rsidRDefault="00AA064E">
      <w:pPr>
        <w:pStyle w:val="Compact"/>
        <w:numPr>
          <w:ilvl w:val="0"/>
          <w:numId w:val="11"/>
        </w:numPr>
      </w:pPr>
      <w:r>
        <w:t xml:space="preserve">If you know how to do a for loop, you can do that and come up with shorter code. A good guide to doing for loops in R is </w:t>
      </w:r>
      <w:hyperlink r:id="rId17">
        <w:r>
          <w:rPr>
            <w:rStyle w:val="Hyperlink"/>
          </w:rPr>
          <w:t>https://rstudio-education.github.io/hopr/loops.html</w:t>
        </w:r>
      </w:hyperlink>
      <w:r>
        <w:t>.</w:t>
      </w:r>
      <w:bookmarkEnd w:id="10"/>
      <w:bookmarkEnd w:id="16"/>
      <w:bookmarkEnd w:id="18"/>
    </w:p>
    <w:sectPr w:rsidR="003F4486" w:rsidSect="00D04CC9">
      <w:headerReference w:type="default" r:id="rId18"/>
      <w:pgSz w:w="12240" w:h="15840"/>
      <w:pgMar w:top="1440" w:right="2160" w:bottom="1440" w:left="216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ED7D" w14:textId="77777777" w:rsidR="00017C5F" w:rsidRDefault="00017C5F">
      <w:pPr>
        <w:spacing w:after="0"/>
      </w:pPr>
      <w:r>
        <w:separator/>
      </w:r>
    </w:p>
  </w:endnote>
  <w:endnote w:type="continuationSeparator" w:id="0">
    <w:p w14:paraId="7FA7C86A" w14:textId="77777777" w:rsidR="00017C5F" w:rsidRDefault="00017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Medium">
    <w:altName w:val="Arial"/>
    <w:charset w:val="4D"/>
    <w:family w:val="swiss"/>
    <w:pitch w:val="variable"/>
    <w:sig w:usb0="A00002FF" w:usb1="5000205B" w:usb2="00000002" w:usb3="00000000" w:csb0="0000009B"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Monaco">
    <w:altName w:val="Calibri"/>
    <w:charset w:val="4D"/>
    <w:family w:val="auto"/>
    <w:pitch w:val="variable"/>
    <w:sig w:usb0="A00002FF" w:usb1="500039F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0072C" w14:textId="77777777" w:rsidR="00017C5F" w:rsidRDefault="00017C5F">
      <w:r>
        <w:separator/>
      </w:r>
    </w:p>
  </w:footnote>
  <w:footnote w:type="continuationSeparator" w:id="0">
    <w:p w14:paraId="22D03329" w14:textId="77777777" w:rsidR="00017C5F" w:rsidRDefault="00017C5F">
      <w:r>
        <w:continuationSeparator/>
      </w:r>
    </w:p>
  </w:footnote>
  <w:footnote w:id="1">
    <w:p w14:paraId="1963FA91" w14:textId="77777777" w:rsidR="00126837" w:rsidRDefault="00126837" w:rsidP="00126837">
      <w:pPr>
        <w:pBdr>
          <w:top w:val="nil"/>
          <w:left w:val="nil"/>
          <w:bottom w:val="nil"/>
          <w:right w:val="nil"/>
          <w:between w:val="nil"/>
        </w:pBdr>
        <w:rPr>
          <w:color w:val="000000"/>
          <w:sz w:val="20"/>
          <w:szCs w:val="20"/>
        </w:rPr>
      </w:pPr>
      <w:r>
        <w:rPr>
          <w:rStyle w:val="FootnoteReference"/>
        </w:rPr>
        <w:footnoteRef/>
      </w:r>
      <w:r>
        <w:rPr>
          <w:color w:val="000000"/>
          <w:sz w:val="20"/>
          <w:szCs w:val="20"/>
        </w:rPr>
        <w:t xml:space="preserve"> You may use the same code from classmates, Ed Discussion Board, instructors, and generative AI. However, you must hand in your own unique written work and code in all cases. Any copy/paste of another’s work is plagiarism. In other words, you can work with your classmate(s), sitting side-by-side and going through the problem set question-by-question, or use generative AI to provide potential code for you, but you must each type your own answers and your own code.</w:t>
      </w:r>
    </w:p>
  </w:footnote>
  <w:footnote w:id="2">
    <w:p w14:paraId="29D44310" w14:textId="77777777" w:rsidR="003F4486" w:rsidRDefault="00AA064E">
      <w:pPr>
        <w:pStyle w:val="FootnoteText"/>
      </w:pPr>
      <w:r>
        <w:rPr>
          <w:rStyle w:val="FootnoteReference"/>
        </w:rPr>
        <w:footnoteRef/>
      </w:r>
      <w:r>
        <w:t xml:space="preserve"> </w:t>
      </w:r>
      <w:proofErr w:type="spellStart"/>
      <w:r>
        <w:t>Rds</w:t>
      </w:r>
      <w:proofErr w:type="spellEnd"/>
      <w:r>
        <w:t xml:space="preserve"> folders are read in via the </w:t>
      </w:r>
      <w:proofErr w:type="spellStart"/>
      <w:r>
        <w:rPr>
          <w:rStyle w:val="VerbatimChar"/>
        </w:rPr>
        <w:t>read_rds</w:t>
      </w:r>
      <w:proofErr w:type="spellEnd"/>
      <w:r>
        <w:t xml:space="preserve"> function in </w:t>
      </w:r>
      <w:proofErr w:type="spellStart"/>
      <w:r>
        <w:t>tidyverse</w:t>
      </w:r>
      <w:proofErr w:type="spellEnd"/>
      <w:r>
        <w:t xml:space="preserve">, and By saving it in this way, attributes like factor orderings are saved instead of being removed in plain-text formats like a csv. </w:t>
      </w:r>
    </w:p>
  </w:footnote>
  <w:footnote w:id="3">
    <w:p w14:paraId="4F1D7562" w14:textId="77777777" w:rsidR="003F4486" w:rsidRDefault="00AA064E">
      <w:pPr>
        <w:pStyle w:val="FootnoteText"/>
      </w:pPr>
      <w:r>
        <w:rPr>
          <w:rStyle w:val="FootnoteReference"/>
        </w:rPr>
        <w:footnoteRef/>
      </w:r>
      <w:r>
        <w:t xml:space="preserve"> The values of boundary can range from 0 to 1. Think of the 0, 0.5, 1 as a position on a number line from 0 to 1. 0 (to the left) is left alignment of the bins, 0.5 is center alignment at 0. 1 is right alignment.</w:t>
      </w:r>
    </w:p>
  </w:footnote>
  <w:footnote w:id="4">
    <w:p w14:paraId="382D0FC3" w14:textId="77777777" w:rsidR="003F4486" w:rsidRDefault="00AA064E">
      <w:pPr>
        <w:pStyle w:val="FootnoteText"/>
      </w:pPr>
      <w:r>
        <w:rPr>
          <w:rStyle w:val="FootnoteReference"/>
        </w:rPr>
        <w:footnoteRef/>
      </w:r>
      <w:r>
        <w:t xml:space="preserve"> Both </w:t>
      </w:r>
      <w:proofErr w:type="spellStart"/>
      <w:r>
        <w:rPr>
          <w:rStyle w:val="VerbatimChar"/>
        </w:rPr>
        <w:t>binwidth</w:t>
      </w:r>
      <w:proofErr w:type="spellEnd"/>
      <w:r>
        <w:t xml:space="preserve"> and </w:t>
      </w:r>
      <w:r>
        <w:rPr>
          <w:rStyle w:val="VerbatimChar"/>
        </w:rPr>
        <w:t>boundary</w:t>
      </w:r>
      <w:r>
        <w:t xml:space="preserve"> are not aesthetics in this example, so they are set outside of the </w:t>
      </w:r>
      <w:proofErr w:type="spellStart"/>
      <w:r>
        <w:rPr>
          <w:rStyle w:val="VerbatimChar"/>
        </w:rPr>
        <w:t>aes</w:t>
      </w:r>
      <w:proofErr w:type="spellEnd"/>
      <w:r>
        <w:t xml:space="preserve"> function.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AE6FD" w14:textId="77777777" w:rsidR="00AA064E" w:rsidRDefault="00AA064E">
    <w:pPr>
      <w:pStyle w:val="Header"/>
    </w:pPr>
    <w:r>
      <w:t>Applied Quantitative Research Design – Fall 2023</w:t>
    </w:r>
    <w:r>
      <w:tab/>
    </w:r>
    <w:r>
      <w:tab/>
      <w:t xml:space="preserve">Prof. Shiro </w:t>
    </w:r>
    <w:proofErr w:type="spellStart"/>
    <w:r>
      <w:t>Kuriwaki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5CE6300"/>
    <w:lvl w:ilvl="0">
      <w:numFmt w:val="bullet"/>
      <w:pStyle w:val="ListBullet"/>
      <w:lvlText w:val="•"/>
      <w:lvlJc w:val="left"/>
      <w:pPr>
        <w:tabs>
          <w:tab w:val="num" w:pos="3960"/>
        </w:tabs>
        <w:ind w:left="4440" w:hanging="480"/>
      </w:pPr>
    </w:lvl>
    <w:lvl w:ilvl="1">
      <w:numFmt w:val="bullet"/>
      <w:lvlText w:val="–"/>
      <w:lvlJc w:val="left"/>
      <w:pPr>
        <w:tabs>
          <w:tab w:val="num" w:pos="4680"/>
        </w:tabs>
        <w:ind w:left="5160" w:hanging="480"/>
      </w:pPr>
    </w:lvl>
    <w:lvl w:ilvl="2">
      <w:numFmt w:val="bullet"/>
      <w:lvlText w:val="•"/>
      <w:lvlJc w:val="left"/>
      <w:pPr>
        <w:tabs>
          <w:tab w:val="num" w:pos="5400"/>
        </w:tabs>
        <w:ind w:left="5880" w:hanging="480"/>
      </w:pPr>
    </w:lvl>
    <w:lvl w:ilvl="3">
      <w:numFmt w:val="bullet"/>
      <w:lvlText w:val="–"/>
      <w:lvlJc w:val="left"/>
      <w:pPr>
        <w:tabs>
          <w:tab w:val="num" w:pos="6120"/>
        </w:tabs>
        <w:ind w:left="6600" w:hanging="480"/>
      </w:pPr>
    </w:lvl>
    <w:lvl w:ilvl="4">
      <w:numFmt w:val="bullet"/>
      <w:lvlText w:val="•"/>
      <w:lvlJc w:val="left"/>
      <w:pPr>
        <w:tabs>
          <w:tab w:val="num" w:pos="6840"/>
        </w:tabs>
        <w:ind w:left="7320" w:hanging="480"/>
      </w:pPr>
    </w:lvl>
    <w:lvl w:ilvl="5">
      <w:numFmt w:val="bullet"/>
      <w:lvlText w:val="–"/>
      <w:lvlJc w:val="left"/>
      <w:pPr>
        <w:tabs>
          <w:tab w:val="num" w:pos="7560"/>
        </w:tabs>
        <w:ind w:left="8040" w:hanging="480"/>
      </w:pPr>
    </w:lvl>
    <w:lvl w:ilvl="6">
      <w:numFmt w:val="bullet"/>
      <w:lvlText w:val="•"/>
      <w:lvlJc w:val="left"/>
      <w:pPr>
        <w:tabs>
          <w:tab w:val="num" w:pos="8280"/>
        </w:tabs>
        <w:ind w:left="8760" w:hanging="480"/>
      </w:pPr>
    </w:lvl>
    <w:lvl w:ilvl="7">
      <w:numFmt w:val="bullet"/>
      <w:lvlText w:val="–"/>
      <w:lvlJc w:val="left"/>
      <w:pPr>
        <w:tabs>
          <w:tab w:val="num" w:pos="9000"/>
        </w:tabs>
        <w:ind w:left="9480" w:hanging="480"/>
      </w:pPr>
    </w:lvl>
    <w:lvl w:ilvl="8">
      <w:numFmt w:val="bullet"/>
      <w:lvlText w:val="•"/>
      <w:lvlJc w:val="left"/>
      <w:pPr>
        <w:tabs>
          <w:tab w:val="num" w:pos="9720"/>
        </w:tabs>
        <w:ind w:left="10200" w:hanging="480"/>
      </w:pPr>
    </w:lvl>
  </w:abstractNum>
  <w:abstractNum w:abstractNumId="1" w15:restartNumberingAfterBreak="0">
    <w:nsid w:val="FFFFFF83"/>
    <w:multiLevelType w:val="singleLevel"/>
    <w:tmpl w:val="E3943F6C"/>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000A991"/>
    <w:multiLevelType w:val="multilevel"/>
    <w:tmpl w:val="0E2C16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0A99411"/>
    <w:multiLevelType w:val="multilevel"/>
    <w:tmpl w:val="78F252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AEC2E29"/>
    <w:multiLevelType w:val="hybridMultilevel"/>
    <w:tmpl w:val="9AA8926E"/>
    <w:lvl w:ilvl="0" w:tplc="C36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E2EDB"/>
    <w:multiLevelType w:val="multilevel"/>
    <w:tmpl w:val="6E309D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631153EF"/>
    <w:multiLevelType w:val="hybridMultilevel"/>
    <w:tmpl w:val="E654D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7160235">
    <w:abstractNumId w:val="1"/>
  </w:num>
  <w:num w:numId="2" w16cid:durableId="39476907">
    <w:abstractNumId w:val="0"/>
  </w:num>
  <w:num w:numId="3" w16cid:durableId="2074233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748339">
    <w:abstractNumId w:val="2"/>
  </w:num>
  <w:num w:numId="5" w16cid:durableId="2010478992">
    <w:abstractNumId w:val="2"/>
  </w:num>
  <w:num w:numId="6" w16cid:durableId="1819299692">
    <w:abstractNumId w:val="2"/>
  </w:num>
  <w:num w:numId="7" w16cid:durableId="1470318658">
    <w:abstractNumId w:val="2"/>
  </w:num>
  <w:num w:numId="8" w16cid:durableId="2107647314">
    <w:abstractNumId w:val="2"/>
  </w:num>
  <w:num w:numId="9" w16cid:durableId="544832697">
    <w:abstractNumId w:val="2"/>
  </w:num>
  <w:num w:numId="10" w16cid:durableId="1067188791">
    <w:abstractNumId w:val="2"/>
  </w:num>
  <w:num w:numId="11" w16cid:durableId="165438737">
    <w:abstractNumId w:val="2"/>
  </w:num>
  <w:num w:numId="12" w16cid:durableId="693729371">
    <w:abstractNumId w:val="5"/>
  </w:num>
  <w:num w:numId="13" w16cid:durableId="1075932289">
    <w:abstractNumId w:val="4"/>
  </w:num>
  <w:num w:numId="14" w16cid:durableId="170578677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486"/>
    <w:rsid w:val="00001CD5"/>
    <w:rsid w:val="00004B7A"/>
    <w:rsid w:val="00017C5F"/>
    <w:rsid w:val="000324C5"/>
    <w:rsid w:val="00036DD4"/>
    <w:rsid w:val="000410C2"/>
    <w:rsid w:val="00082F8A"/>
    <w:rsid w:val="000C1B27"/>
    <w:rsid w:val="000D487A"/>
    <w:rsid w:val="000F1F00"/>
    <w:rsid w:val="00122F52"/>
    <w:rsid w:val="00126837"/>
    <w:rsid w:val="00126F12"/>
    <w:rsid w:val="00136999"/>
    <w:rsid w:val="00140AAB"/>
    <w:rsid w:val="00157710"/>
    <w:rsid w:val="00166C2A"/>
    <w:rsid w:val="00181BAB"/>
    <w:rsid w:val="00193620"/>
    <w:rsid w:val="00241E06"/>
    <w:rsid w:val="00242FC7"/>
    <w:rsid w:val="00262D90"/>
    <w:rsid w:val="00270419"/>
    <w:rsid w:val="00275FFD"/>
    <w:rsid w:val="002D5F7B"/>
    <w:rsid w:val="002E378B"/>
    <w:rsid w:val="003144CF"/>
    <w:rsid w:val="003215B3"/>
    <w:rsid w:val="003819AA"/>
    <w:rsid w:val="003A0192"/>
    <w:rsid w:val="003A41C9"/>
    <w:rsid w:val="003B2BF3"/>
    <w:rsid w:val="003D02A7"/>
    <w:rsid w:val="003D2F9F"/>
    <w:rsid w:val="003F141C"/>
    <w:rsid w:val="003F2272"/>
    <w:rsid w:val="003F4486"/>
    <w:rsid w:val="003F6D7D"/>
    <w:rsid w:val="004035FB"/>
    <w:rsid w:val="00413D31"/>
    <w:rsid w:val="00430E28"/>
    <w:rsid w:val="00447762"/>
    <w:rsid w:val="00456361"/>
    <w:rsid w:val="00463FA0"/>
    <w:rsid w:val="00477127"/>
    <w:rsid w:val="004C5D1C"/>
    <w:rsid w:val="004C5E85"/>
    <w:rsid w:val="004F21CC"/>
    <w:rsid w:val="005452AA"/>
    <w:rsid w:val="0054596D"/>
    <w:rsid w:val="005B07E9"/>
    <w:rsid w:val="005D6ED6"/>
    <w:rsid w:val="006248B7"/>
    <w:rsid w:val="00663D84"/>
    <w:rsid w:val="0069771A"/>
    <w:rsid w:val="006A1484"/>
    <w:rsid w:val="006A193C"/>
    <w:rsid w:val="006B0AF0"/>
    <w:rsid w:val="006B6641"/>
    <w:rsid w:val="00703ADD"/>
    <w:rsid w:val="00705F0C"/>
    <w:rsid w:val="00731FED"/>
    <w:rsid w:val="007A1677"/>
    <w:rsid w:val="007B2000"/>
    <w:rsid w:val="007C0D7D"/>
    <w:rsid w:val="007F317C"/>
    <w:rsid w:val="007F5747"/>
    <w:rsid w:val="00814175"/>
    <w:rsid w:val="0083294F"/>
    <w:rsid w:val="00832A28"/>
    <w:rsid w:val="00846998"/>
    <w:rsid w:val="00866D82"/>
    <w:rsid w:val="00887E09"/>
    <w:rsid w:val="008C5C3B"/>
    <w:rsid w:val="00904E42"/>
    <w:rsid w:val="00950383"/>
    <w:rsid w:val="0096039F"/>
    <w:rsid w:val="0097213B"/>
    <w:rsid w:val="009A6D9D"/>
    <w:rsid w:val="009C3DBA"/>
    <w:rsid w:val="009C4276"/>
    <w:rsid w:val="009F35E2"/>
    <w:rsid w:val="00A210D6"/>
    <w:rsid w:val="00A453C7"/>
    <w:rsid w:val="00A460C3"/>
    <w:rsid w:val="00A72CC8"/>
    <w:rsid w:val="00A7551D"/>
    <w:rsid w:val="00A931EC"/>
    <w:rsid w:val="00AA064E"/>
    <w:rsid w:val="00AC4E83"/>
    <w:rsid w:val="00AE294A"/>
    <w:rsid w:val="00B155B9"/>
    <w:rsid w:val="00B73E51"/>
    <w:rsid w:val="00B745DF"/>
    <w:rsid w:val="00B800B8"/>
    <w:rsid w:val="00B94798"/>
    <w:rsid w:val="00B975F5"/>
    <w:rsid w:val="00BA27EC"/>
    <w:rsid w:val="00BA69E2"/>
    <w:rsid w:val="00BB538D"/>
    <w:rsid w:val="00BD4EB9"/>
    <w:rsid w:val="00BF2D17"/>
    <w:rsid w:val="00BF3183"/>
    <w:rsid w:val="00C06DE1"/>
    <w:rsid w:val="00C14EA6"/>
    <w:rsid w:val="00C24DCB"/>
    <w:rsid w:val="00C44AFD"/>
    <w:rsid w:val="00C542FF"/>
    <w:rsid w:val="00C62746"/>
    <w:rsid w:val="00CA2B10"/>
    <w:rsid w:val="00CA4C42"/>
    <w:rsid w:val="00CC5CDB"/>
    <w:rsid w:val="00CD6F20"/>
    <w:rsid w:val="00CF5B0D"/>
    <w:rsid w:val="00D03A08"/>
    <w:rsid w:val="00D166C5"/>
    <w:rsid w:val="00D35114"/>
    <w:rsid w:val="00D55311"/>
    <w:rsid w:val="00D63224"/>
    <w:rsid w:val="00D86462"/>
    <w:rsid w:val="00D865F6"/>
    <w:rsid w:val="00E028C7"/>
    <w:rsid w:val="00EA2FDC"/>
    <w:rsid w:val="00EC7E90"/>
    <w:rsid w:val="00ED3EEE"/>
    <w:rsid w:val="00EF1282"/>
    <w:rsid w:val="00FA7818"/>
    <w:rsid w:val="00FD58E9"/>
    <w:rsid w:val="00FE533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3F633"/>
  <w15:docId w15:val="{E3AD2429-A706-814C-B663-11E158129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146B"/>
    <w:rPr>
      <w:rFonts w:ascii="Times New Roman" w:hAnsi="Times New Roman"/>
      <w:sz w:val="22"/>
    </w:rPr>
  </w:style>
  <w:style w:type="paragraph" w:styleId="Heading1">
    <w:name w:val="heading 1"/>
    <w:basedOn w:val="Normal"/>
    <w:next w:val="BodyText"/>
    <w:uiPriority w:val="9"/>
    <w:qFormat/>
    <w:rsid w:val="00C92390"/>
    <w:pPr>
      <w:keepNext/>
      <w:keepLines/>
      <w:spacing w:before="480" w:after="0"/>
      <w:outlineLvl w:val="0"/>
    </w:pPr>
    <w:rPr>
      <w:rFonts w:ascii="Helvetica Neue" w:eastAsiaTheme="majorEastAsia" w:hAnsi="Helvetica Neue" w:cstheme="majorBidi"/>
      <w:b/>
      <w:bCs/>
      <w:color w:val="1F497D" w:themeColor="text2"/>
      <w:sz w:val="28"/>
      <w:szCs w:val="32"/>
    </w:rPr>
  </w:style>
  <w:style w:type="paragraph" w:styleId="Heading2">
    <w:name w:val="heading 2"/>
    <w:basedOn w:val="Normal"/>
    <w:next w:val="BodyText"/>
    <w:uiPriority w:val="9"/>
    <w:unhideWhenUsed/>
    <w:qFormat/>
    <w:rsid w:val="00C92390"/>
    <w:pPr>
      <w:keepNext/>
      <w:keepLines/>
      <w:spacing w:before="200" w:after="0"/>
      <w:outlineLvl w:val="1"/>
    </w:pPr>
    <w:rPr>
      <w:rFonts w:ascii="Helvetica Neue Medium" w:eastAsiaTheme="majorEastAsia" w:hAnsi="Helvetica Neue Medium" w:cstheme="majorBidi"/>
      <w:bCs/>
      <w:color w:val="1F497D" w:themeColor="text2"/>
      <w:sz w:val="24"/>
      <w:szCs w:val="32"/>
    </w:rPr>
  </w:style>
  <w:style w:type="paragraph" w:styleId="Heading3">
    <w:name w:val="heading 3"/>
    <w:basedOn w:val="Normal"/>
    <w:next w:val="BodyText"/>
    <w:uiPriority w:val="9"/>
    <w:unhideWhenUsed/>
    <w:qFormat/>
    <w:rsid w:val="004B7814"/>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295"/>
    <w:pPr>
      <w:spacing w:before="180" w:after="180"/>
    </w:pPr>
    <w:rPr>
      <w:rFonts w:cs="Times New Roman"/>
    </w:rPr>
  </w:style>
  <w:style w:type="paragraph" w:customStyle="1" w:styleId="FirstParagraph">
    <w:name w:val="First Paragraph"/>
    <w:basedOn w:val="BodyText"/>
    <w:next w:val="BodyText"/>
    <w:qFormat/>
    <w:rsid w:val="00431E46"/>
  </w:style>
  <w:style w:type="paragraph" w:customStyle="1" w:styleId="Compact">
    <w:name w:val="Compact"/>
    <w:basedOn w:val="BodyText"/>
    <w:next w:val="ListBullet"/>
    <w:qFormat/>
    <w:pPr>
      <w:spacing w:before="36" w:after="36"/>
    </w:pPr>
  </w:style>
  <w:style w:type="paragraph" w:styleId="Title">
    <w:name w:val="Title"/>
    <w:basedOn w:val="Normal"/>
    <w:next w:val="BodyText"/>
    <w:qFormat/>
    <w:rsid w:val="00C92390"/>
    <w:pPr>
      <w:keepNext/>
      <w:keepLines/>
      <w:spacing w:before="600" w:after="360"/>
      <w:jc w:val="center"/>
    </w:pPr>
    <w:rPr>
      <w:rFonts w:ascii="Helvetica Neue" w:eastAsiaTheme="majorEastAsia" w:hAnsi="Helvetica Neue"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92390"/>
    <w:pPr>
      <w:keepNext/>
      <w:keepLines/>
      <w:spacing w:before="120" w:after="320"/>
      <w:jc w:val="center"/>
    </w:pPr>
    <w:rPr>
      <w:rFonts w:ascii="Times" w:hAnsi="Times" w:cs="Times New Roman"/>
      <w:b/>
      <w:color w:val="17365D" w:themeColor="tex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146B"/>
    <w:pPr>
      <w:spacing w:before="100" w:after="100"/>
      <w:ind w:left="720"/>
    </w:pPr>
    <w:rPr>
      <w:rFonts w:eastAsiaTheme="majorEastAsia" w:cstheme="majorBidi"/>
      <w:bCs/>
      <w:szCs w:val="20"/>
    </w:rPr>
  </w:style>
  <w:style w:type="paragraph" w:styleId="FootnoteText">
    <w:name w:val="footnote text"/>
    <w:basedOn w:val="Normal"/>
    <w:uiPriority w:val="9"/>
    <w:unhideWhenUsed/>
    <w:qFormat/>
    <w:rsid w:val="00F9545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w:hAnsi="Times"/>
      <w:sz w:val="24"/>
    </w:rPr>
  </w:style>
  <w:style w:type="character" w:customStyle="1" w:styleId="VerbatimChar">
    <w:name w:val="Verbatim Char"/>
    <w:basedOn w:val="CaptionChar"/>
    <w:link w:val="SourceCode"/>
    <w:rsid w:val="00FF7A57"/>
    <w:rPr>
      <w:rFonts w:ascii="Monaco" w:hAnsi="Monaco"/>
      <w:sz w:val="18"/>
      <w:shd w:val="clear" w:color="auto" w:fill="F2F2F2"/>
    </w:rPr>
  </w:style>
  <w:style w:type="character" w:styleId="FootnoteReference">
    <w:name w:val="footnote reference"/>
    <w:basedOn w:val="CaptionChar"/>
    <w:rPr>
      <w:rFonts w:ascii="Times" w:hAnsi="Times"/>
      <w:sz w:val="24"/>
      <w:vertAlign w:val="superscript"/>
    </w:rPr>
  </w:style>
  <w:style w:type="character" w:styleId="Hyperlink">
    <w:name w:val="Hyperlink"/>
    <w:basedOn w:val="CaptionChar"/>
    <w:rsid w:val="001305FE"/>
    <w:rPr>
      <w:rFonts w:ascii="Times" w:hAnsi="Times"/>
      <w:color w:val="365F91" w:themeColor="accent1" w:themeShade="BF"/>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F7A57"/>
    <w:pPr>
      <w:shd w:val="clear" w:color="auto" w:fill="F2F2F2"/>
      <w:wordWrap w:val="0"/>
    </w:pPr>
    <w:rPr>
      <w:rFonts w:ascii="Monaco" w:hAnsi="Monaco"/>
      <w:sz w:val="18"/>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295"/>
    <w:rPr>
      <w:rFonts w:ascii="Times New Roman" w:hAnsi="Times New Roman" w:cs="Times New Roman"/>
      <w:sz w:val="24"/>
    </w:rPr>
  </w:style>
  <w:style w:type="paragraph" w:customStyle="1" w:styleId="Style1">
    <w:name w:val="Style1"/>
    <w:basedOn w:val="BodyText"/>
    <w:qFormat/>
    <w:rsid w:val="00F95457"/>
    <w:rPr>
      <w:i/>
    </w:rPr>
  </w:style>
  <w:style w:type="paragraph" w:styleId="ListBullet">
    <w:name w:val="List Bullet"/>
    <w:basedOn w:val="Normal"/>
    <w:unhideWhenUsed/>
    <w:rsid w:val="00BA0032"/>
    <w:pPr>
      <w:numPr>
        <w:numId w:val="2"/>
      </w:numPr>
      <w:ind w:left="1920"/>
    </w:pPr>
    <w:rPr>
      <w:rFonts w:cs="Times New Roman"/>
    </w:rPr>
  </w:style>
  <w:style w:type="paragraph" w:styleId="BalloonText">
    <w:name w:val="Balloon Text"/>
    <w:basedOn w:val="Normal"/>
    <w:link w:val="BalloonTextChar"/>
    <w:semiHidden/>
    <w:unhideWhenUsed/>
    <w:rsid w:val="006A1CD1"/>
    <w:pPr>
      <w:spacing w:after="0"/>
    </w:pPr>
    <w:rPr>
      <w:sz w:val="18"/>
      <w:szCs w:val="18"/>
    </w:rPr>
  </w:style>
  <w:style w:type="character" w:customStyle="1" w:styleId="BalloonTextChar">
    <w:name w:val="Balloon Text Char"/>
    <w:basedOn w:val="DefaultParagraphFont"/>
    <w:link w:val="BalloonText"/>
    <w:semiHidden/>
    <w:rsid w:val="006A1CD1"/>
    <w:rPr>
      <w:rFonts w:ascii="Times New Roman" w:hAnsi="Times New Roman"/>
      <w:sz w:val="18"/>
      <w:szCs w:val="18"/>
    </w:rPr>
  </w:style>
  <w:style w:type="paragraph" w:styleId="ListBullet2">
    <w:name w:val="List Bullet 2"/>
    <w:basedOn w:val="Normal"/>
    <w:unhideWhenUsed/>
    <w:rsid w:val="002D4428"/>
    <w:pPr>
      <w:numPr>
        <w:numId w:val="1"/>
      </w:numPr>
      <w:contextualSpacing/>
    </w:pPr>
  </w:style>
  <w:style w:type="paragraph" w:styleId="Index1">
    <w:name w:val="index 1"/>
    <w:basedOn w:val="Normal"/>
    <w:next w:val="Normal"/>
    <w:autoRedefine/>
    <w:rsid w:val="002D4428"/>
    <w:pPr>
      <w:spacing w:after="0"/>
      <w:ind w:left="240" w:hanging="240"/>
    </w:pPr>
  </w:style>
  <w:style w:type="paragraph" w:styleId="IndexHeading">
    <w:name w:val="index heading"/>
    <w:basedOn w:val="Normal"/>
    <w:next w:val="Index1"/>
    <w:unhideWhenUsed/>
    <w:rsid w:val="002D4428"/>
    <w:rPr>
      <w:rFonts w:asciiTheme="majorHAnsi" w:eastAsiaTheme="majorEastAsia" w:hAnsiTheme="majorHAnsi" w:cstheme="majorBidi"/>
      <w:b/>
      <w:bCs/>
    </w:rPr>
  </w:style>
  <w:style w:type="paragraph" w:styleId="Header">
    <w:name w:val="header"/>
    <w:basedOn w:val="Normal"/>
    <w:link w:val="HeaderChar"/>
    <w:unhideWhenUsed/>
    <w:rsid w:val="006543DF"/>
    <w:pPr>
      <w:tabs>
        <w:tab w:val="center" w:pos="4680"/>
        <w:tab w:val="right" w:pos="9360"/>
      </w:tabs>
      <w:spacing w:after="0"/>
    </w:pPr>
    <w:rPr>
      <w:rFonts w:ascii="Times" w:hAnsi="Times"/>
      <w:color w:val="808080" w:themeColor="background1" w:themeShade="80"/>
      <w:sz w:val="20"/>
    </w:rPr>
  </w:style>
  <w:style w:type="character" w:customStyle="1" w:styleId="HeaderChar">
    <w:name w:val="Header Char"/>
    <w:basedOn w:val="DefaultParagraphFont"/>
    <w:link w:val="Header"/>
    <w:rsid w:val="006543DF"/>
    <w:rPr>
      <w:rFonts w:ascii="Times" w:hAnsi="Times"/>
      <w:color w:val="808080" w:themeColor="background1" w:themeShade="80"/>
      <w:sz w:val="20"/>
    </w:rPr>
  </w:style>
  <w:style w:type="paragraph" w:styleId="Footer">
    <w:name w:val="footer"/>
    <w:basedOn w:val="Normal"/>
    <w:link w:val="FooterChar"/>
    <w:unhideWhenUsed/>
    <w:rsid w:val="006543DF"/>
    <w:pPr>
      <w:tabs>
        <w:tab w:val="center" w:pos="4680"/>
        <w:tab w:val="right" w:pos="9360"/>
      </w:tabs>
      <w:spacing w:after="0"/>
    </w:pPr>
  </w:style>
  <w:style w:type="character" w:customStyle="1" w:styleId="FooterChar">
    <w:name w:val="Footer Char"/>
    <w:basedOn w:val="DefaultParagraphFont"/>
    <w:link w:val="Footer"/>
    <w:rsid w:val="006543DF"/>
    <w:rPr>
      <w:rFonts w:ascii="Helvetica" w:hAnsi="Helvetica"/>
      <w:sz w:val="24"/>
    </w:rPr>
  </w:style>
  <w:style w:type="character" w:styleId="FollowedHyperlink">
    <w:name w:val="FollowedHyperlink"/>
    <w:basedOn w:val="DefaultParagraphFont"/>
    <w:semiHidden/>
    <w:unhideWhenUsed/>
    <w:rsid w:val="00C92390"/>
    <w:rPr>
      <w:rFonts w:ascii="Times" w:hAnsi="Times"/>
      <w:color w:val="800080" w:themeColor="followedHyperlink"/>
      <w:sz w:val="24"/>
      <w:u w:val="single"/>
    </w:rPr>
  </w:style>
  <w:style w:type="character" w:styleId="PlaceholderText">
    <w:name w:val="Placeholder Text"/>
    <w:basedOn w:val="DefaultParagraphFont"/>
    <w:semiHidden/>
    <w:rsid w:val="00262D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uswilke.com/dataviz/multi-panel-figures.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ale.instructure.com/courses/89156/quizzes/62867" TargetMode="External"/><Relationship Id="rId12" Type="http://schemas.openxmlformats.org/officeDocument/2006/relationships/hyperlink" Target="https://ggplot2.tidyverse.org/reference/facet_wrap.html" TargetMode="External"/><Relationship Id="rId17" Type="http://schemas.openxmlformats.org/officeDocument/2006/relationships/hyperlink" Target="https://rstudio-education.github.io/hopr/loops.html" TargetMode="External"/><Relationship Id="rId2" Type="http://schemas.openxmlformats.org/officeDocument/2006/relationships/styles" Target="styles.xml"/><Relationship Id="rId16" Type="http://schemas.openxmlformats.org/officeDocument/2006/relationships/hyperlink" Target="https://vincentarelbundock.github.io/modelsummary/articles/modelsummary.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gplot2.tidyverse.org/reference/inde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idyr.tidyverse.org/reference/pivot_wi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12</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PS-01</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dc:title>
  <dc:creator/>
  <cp:keywords/>
  <cp:lastModifiedBy>Nikhilla</cp:lastModifiedBy>
  <cp:revision>131</cp:revision>
  <dcterms:created xsi:type="dcterms:W3CDTF">2023-09-11T14:32:00Z</dcterms:created>
  <dcterms:modified xsi:type="dcterms:W3CDTF">2023-09-18T13:14:00Z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params">
    <vt:lpwstr/>
  </property>
  <property fmtid="{D5CDD505-2E9C-101B-9397-08002B2CF9AE}" pid="8" name="subtitle">
    <vt:lpwstr>Due Monday September 18, 2023, 10am</vt:lpwstr>
  </property>
  <property fmtid="{D5CDD505-2E9C-101B-9397-08002B2CF9AE}" pid="9" name="toc-title">
    <vt:lpwstr>Table of contents</vt:lpwstr>
  </property>
</Properties>
</file>