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EndPr/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6669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members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9" w:name="_Toc415840195"/>
      <w:r>
        <w:rPr>
          <w:rFonts w:ascii="Arial" w:hAnsi="Arial" w:cs="Arial"/>
          <w:b/>
          <w:sz w:val="28"/>
          <w:szCs w:val="28"/>
        </w:rPr>
        <w:t>BILLING</w:t>
      </w:r>
      <w:bookmarkEnd w:id="9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0"/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Pr="003A509C" w:rsidRDefault="002F478D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Search Screen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3A509C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search page will allow user to find transactions between particular date</w:t>
      </w:r>
      <w:r w:rsidR="005C09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28F8" w:rsidRDefault="003A509C" w:rsidP="00A228F8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09E4AB" wp14:editId="7D961E14">
            <wp:extent cx="5943600" cy="420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A228F8" w:rsidP="00A228F8">
      <w:pPr>
        <w:pStyle w:val="Caption"/>
        <w:jc w:val="center"/>
      </w:pPr>
      <w:r>
        <w:t xml:space="preserve">Figure </w:t>
      </w:r>
      <w:r w:rsidR="006669A2">
        <w:fldChar w:fldCharType="begin"/>
      </w:r>
      <w:r w:rsidR="006669A2">
        <w:instrText xml:space="preserve"> SEQ Figure \* ARABIC </w:instrText>
      </w:r>
      <w:r w:rsidR="006669A2">
        <w:fldChar w:fldCharType="separate"/>
      </w:r>
      <w:r w:rsidR="005C098A">
        <w:rPr>
          <w:noProof/>
        </w:rPr>
        <w:t>1</w:t>
      </w:r>
      <w:r w:rsidR="006669A2">
        <w:rPr>
          <w:noProof/>
        </w:rPr>
        <w:fldChar w:fldCharType="end"/>
      </w:r>
      <w:r>
        <w:t>: Initial Screen</w:t>
      </w:r>
      <w:r w:rsidR="00E4527D">
        <w:t xml:space="preserve"> (View button disabled)</w:t>
      </w:r>
    </w:p>
    <w:p w:rsidR="004C1994" w:rsidRDefault="004C1994" w:rsidP="004C1994"/>
    <w:p w:rsidR="004C1994" w:rsidRPr="00EB3120" w:rsidRDefault="004C1994" w:rsidP="004C199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4C1994" w:rsidRDefault="004C1994" w:rsidP="004C199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Go</w:t>
      </w:r>
      <w:r w:rsidR="005C098A">
        <w:t xml:space="preserve"> </w:t>
      </w:r>
      <w:r>
        <w:t>to “Reports” tab and select Transaction to go to Transaction search screen. (Figure1)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Start Date and End Date are accepted in format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”. 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If Start date exceeds End Date then, system will </w:t>
      </w:r>
      <w:r w:rsidR="005C098A">
        <w:t>show</w:t>
      </w:r>
      <w:r>
        <w:t xml:space="preserve"> error.</w:t>
      </w:r>
    </w:p>
    <w:p w:rsidR="00EC4B1C" w:rsidRDefault="00EC4B1C" w:rsidP="00EC4B1C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33EFB347" wp14:editId="0DBD7DD1">
            <wp:extent cx="5943600" cy="423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FB2D28" w:rsidP="00EC4B1C">
      <w:pPr>
        <w:pStyle w:val="Caption"/>
        <w:ind w:left="2880"/>
      </w:pPr>
      <w:r>
        <w:t xml:space="preserve">     </w:t>
      </w:r>
      <w:r w:rsidR="00EC4B1C">
        <w:t xml:space="preserve"> Figure </w:t>
      </w:r>
      <w:r w:rsidR="006669A2">
        <w:fldChar w:fldCharType="begin"/>
      </w:r>
      <w:r w:rsidR="006669A2">
        <w:instrText xml:space="preserve"> SEQ Figure \* ARABIC </w:instrText>
      </w:r>
      <w:r w:rsidR="006669A2">
        <w:fldChar w:fldCharType="separate"/>
      </w:r>
      <w:r w:rsidR="005C098A">
        <w:rPr>
          <w:noProof/>
        </w:rPr>
        <w:t>2</w:t>
      </w:r>
      <w:r w:rsidR="006669A2">
        <w:rPr>
          <w:noProof/>
        </w:rPr>
        <w:fldChar w:fldCharType="end"/>
      </w:r>
      <w:r w:rsidR="00EC4B1C">
        <w:t xml:space="preserve"> : </w:t>
      </w:r>
      <w:r w:rsidR="00907662">
        <w:t>Transaction List</w:t>
      </w:r>
      <w:r w:rsidR="00EC4B1C">
        <w:t xml:space="preserve"> </w:t>
      </w:r>
      <w:r w:rsidR="00907662">
        <w:t>r</w:t>
      </w:r>
      <w:r w:rsidR="00EC4B1C">
        <w:t>esults after clicking "Search" button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“Search” button facilitates user to search transactions between particular dates.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and End Date both are empty then user will get entire list of Transactions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empty and End Date is entered then user will get all Transactions - on or before the End Date.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entered and End Date is empty then user will get all Transactions - on or after the Start Date.</w:t>
      </w:r>
    </w:p>
    <w:p w:rsidR="00687EBF" w:rsidRDefault="00687EBF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To retrieve transactions for a particular date user should enter same values of start and end date. </w:t>
      </w:r>
    </w:p>
    <w:p w:rsidR="004C1994" w:rsidRPr="004C1994" w:rsidRDefault="004C1994" w:rsidP="004C1994"/>
    <w:p w:rsidR="00FB2D28" w:rsidRDefault="00FB2D28" w:rsidP="00FB2D28">
      <w:pPr>
        <w:keepNext/>
      </w:pPr>
      <w:r>
        <w:tab/>
      </w:r>
      <w:r>
        <w:rPr>
          <w:noProof/>
        </w:rPr>
        <w:drawing>
          <wp:inline distT="0" distB="0" distL="0" distR="0" wp14:anchorId="064933EE" wp14:editId="4159F100">
            <wp:extent cx="5943600" cy="43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28" w:rsidRDefault="00FB2D28" w:rsidP="009F5B09">
      <w:pPr>
        <w:pStyle w:val="Caption"/>
        <w:ind w:left="1440" w:firstLine="720"/>
      </w:pPr>
      <w:r>
        <w:t xml:space="preserve">Figure </w:t>
      </w:r>
      <w:r w:rsidR="006669A2">
        <w:fldChar w:fldCharType="begin"/>
      </w:r>
      <w:r w:rsidR="006669A2">
        <w:instrText xml:space="preserve"> SEQ Figure \* ARABIC </w:instrText>
      </w:r>
      <w:r w:rsidR="006669A2">
        <w:fldChar w:fldCharType="separate"/>
      </w:r>
      <w:r w:rsidR="005C098A">
        <w:rPr>
          <w:noProof/>
        </w:rPr>
        <w:t>3</w:t>
      </w:r>
      <w:r w:rsidR="006669A2">
        <w:rPr>
          <w:noProof/>
        </w:rPr>
        <w:fldChar w:fldCharType="end"/>
      </w:r>
      <w:r>
        <w:t xml:space="preserve"> : Selecting a Transaction from List (View button enabled)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687EBF" w:rsidRDefault="00687EBF" w:rsidP="00687EBF"/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After clicking search button user will get list of transaction sorted in ascending order of their transaction Id.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Cells in the displayed transaction List are non-editable.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User would be able to select only a single record from the displayed Transaction List.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Clicking “Clear” button clears the data entered in the start date and end date fields.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“View” button will get enabled once the row is selected from the Transaction list.</w:t>
      </w:r>
    </w:p>
    <w:p w:rsidR="00E1317F" w:rsidRPr="00687EB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“Close” button will help user navigate to the main window.</w:t>
      </w:r>
    </w:p>
    <w:p w:rsidR="003542A1" w:rsidRDefault="003542A1" w:rsidP="003542A1"/>
    <w:p w:rsidR="003542A1" w:rsidRDefault="003542A1" w:rsidP="003542A1"/>
    <w:p w:rsidR="002F478D" w:rsidRDefault="002F478D" w:rsidP="003542A1"/>
    <w:p w:rsidR="002F478D" w:rsidRDefault="002F478D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Details Screen</w:t>
      </w:r>
    </w:p>
    <w:p w:rsidR="00BA2FC1" w:rsidRDefault="00BA2FC1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BA2FC1" w:rsidRPr="00D92B90" w:rsidRDefault="00BA2FC1" w:rsidP="00BA2FC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Pr="00A25F48" w:rsidRDefault="00BA2FC1" w:rsidP="00BA2FC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A2FC1" w:rsidRDefault="00BA2FC1" w:rsidP="00BA2FC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details page will allow user to see product related details like Product id, name, description, Quantity etc.</w:t>
      </w:r>
    </w:p>
    <w:p w:rsidR="00BA2FC1" w:rsidRDefault="00BA2FC1" w:rsidP="002F478D">
      <w:pPr>
        <w:spacing w:after="0" w:line="240" w:lineRule="auto"/>
        <w:outlineLvl w:val="0"/>
      </w:pPr>
    </w:p>
    <w:p w:rsidR="002F478D" w:rsidRDefault="002F478D" w:rsidP="003542A1">
      <w:pPr>
        <w:keepNext/>
        <w:rPr>
          <w:noProof/>
        </w:rPr>
      </w:pPr>
    </w:p>
    <w:p w:rsidR="003542A1" w:rsidRDefault="003542A1" w:rsidP="003542A1">
      <w:pPr>
        <w:keepNext/>
      </w:pPr>
      <w:r>
        <w:rPr>
          <w:noProof/>
        </w:rPr>
        <w:drawing>
          <wp:inline distT="0" distB="0" distL="0" distR="0" wp14:anchorId="4D3401ED" wp14:editId="5F3AD011">
            <wp:extent cx="5943600" cy="420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1" w:rsidRDefault="003542A1" w:rsidP="003542A1">
      <w:pPr>
        <w:pStyle w:val="Caption"/>
        <w:ind w:left="1440" w:firstLine="720"/>
      </w:pPr>
      <w:r>
        <w:t xml:space="preserve">Figure </w:t>
      </w:r>
      <w:r w:rsidR="006669A2">
        <w:fldChar w:fldCharType="begin"/>
      </w:r>
      <w:r w:rsidR="006669A2">
        <w:instrText xml:space="preserve"> SEQ Figure \* ARABIC </w:instrText>
      </w:r>
      <w:r w:rsidR="006669A2">
        <w:fldChar w:fldCharType="separate"/>
      </w:r>
      <w:r w:rsidR="005C098A">
        <w:rPr>
          <w:noProof/>
        </w:rPr>
        <w:t>4</w:t>
      </w:r>
      <w:r w:rsidR="006669A2">
        <w:rPr>
          <w:noProof/>
        </w:rPr>
        <w:fldChar w:fldCharType="end"/>
      </w:r>
      <w:r>
        <w:t xml:space="preserve"> : Transaction details page after clicking View button</w:t>
      </w:r>
    </w:p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0D0AB2" w:rsidRDefault="000D0AB2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On click of “view” button after selecting a particular transaction you will get List of </w:t>
      </w:r>
      <w:r w:rsidR="005C098A">
        <w:t>product items</w:t>
      </w:r>
      <w:r>
        <w:t xml:space="preserve"> with product details(like product Id, product name, quantity, product description) sorted by the Product</w:t>
      </w:r>
      <w:r w:rsidR="00883135">
        <w:t xml:space="preserve"> </w:t>
      </w:r>
      <w:r>
        <w:t>Id.</w:t>
      </w:r>
    </w:p>
    <w:p w:rsidR="00F55DF8" w:rsidRDefault="00F55DF8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>When user clicks on “Back” button the user’s search criteria would be retained along with the search results in Transaction search screen.</w:t>
      </w:r>
    </w:p>
    <w:p w:rsidR="005C098A" w:rsidRDefault="005C098A" w:rsidP="00DA0700">
      <w:pPr>
        <w:pStyle w:val="ListParagraph"/>
        <w:numPr>
          <w:ilvl w:val="0"/>
          <w:numId w:val="20"/>
        </w:numPr>
        <w:spacing w:after="160" w:line="259" w:lineRule="auto"/>
      </w:pPr>
      <w:r>
        <w:t>“Close” button will help user navigate to the main window.</w:t>
      </w:r>
    </w:p>
    <w:p w:rsidR="00F55DF8" w:rsidRDefault="00F55DF8" w:rsidP="00540DCF">
      <w:pPr>
        <w:spacing w:after="160" w:line="259" w:lineRule="auto"/>
      </w:pPr>
    </w:p>
    <w:p w:rsidR="00540DCF" w:rsidRDefault="00540DCF" w:rsidP="00540DCF">
      <w:pPr>
        <w:spacing w:after="160" w:line="259" w:lineRule="auto"/>
      </w:pPr>
    </w:p>
    <w:p w:rsidR="00540DCF" w:rsidRDefault="00540DCF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Report Screen</w:t>
      </w:r>
    </w:p>
    <w:p w:rsidR="00BA2FC1" w:rsidRDefault="00BA2FC1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F26DC4" w:rsidRPr="00D92B90" w:rsidRDefault="00F26DC4" w:rsidP="00F26D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Default="00BA2FC1" w:rsidP="00BA2FC1">
      <w:pPr>
        <w:spacing w:after="0" w:line="240" w:lineRule="auto"/>
        <w:outlineLvl w:val="0"/>
      </w:pPr>
    </w:p>
    <w:p w:rsidR="00BA2FC1" w:rsidRDefault="00BA2FC1" w:rsidP="00BA2FC1">
      <w:pPr>
        <w:pStyle w:val="ListParagraph"/>
        <w:spacing w:after="160" w:line="259" w:lineRule="auto"/>
      </w:pPr>
      <w:r>
        <w:t>Clicking “Print” button on Transaction search page will generate report with all transactions between given date range</w:t>
      </w:r>
      <w:r w:rsidR="005C098A">
        <w:t xml:space="preserve"> sorted with transaction Id in ascending order.</w:t>
      </w:r>
      <w:r>
        <w:t xml:space="preserve"> </w:t>
      </w:r>
      <w:r w:rsidR="005C098A">
        <w:t>A</w:t>
      </w:r>
      <w:r>
        <w:t>long with the product name, description, order quan</w:t>
      </w:r>
      <w:r w:rsidR="005C098A">
        <w:t xml:space="preserve">tity </w:t>
      </w:r>
      <w:proofErr w:type="spellStart"/>
      <w:r w:rsidR="005C098A">
        <w:t>etc</w:t>
      </w:r>
      <w:proofErr w:type="spellEnd"/>
      <w:r w:rsidR="005C098A">
        <w:t xml:space="preserve"> sorted with product Id for a particular transaction.</w:t>
      </w:r>
    </w:p>
    <w:p w:rsidR="00BA2FC1" w:rsidRDefault="00BA2FC1" w:rsidP="00BA2FC1">
      <w:pPr>
        <w:spacing w:after="0" w:line="240" w:lineRule="auto"/>
        <w:outlineLvl w:val="0"/>
      </w:pPr>
    </w:p>
    <w:p w:rsidR="00325E5D" w:rsidRDefault="00540DCF" w:rsidP="00325E5D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0FAF8E0" wp14:editId="772A9079">
            <wp:extent cx="512445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C" w:rsidRDefault="00325E5D" w:rsidP="00F500CD">
      <w:pPr>
        <w:pStyle w:val="Caption"/>
        <w:ind w:left="2160" w:firstLine="720"/>
        <w:rPr>
          <w:rFonts w:ascii="Arial" w:hAnsi="Arial" w:cs="Arial"/>
          <w:sz w:val="20"/>
          <w:szCs w:val="20"/>
        </w:rPr>
      </w:pPr>
      <w:r>
        <w:t xml:space="preserve">Figure </w:t>
      </w:r>
      <w:r w:rsidR="006669A2">
        <w:fldChar w:fldCharType="begin"/>
      </w:r>
      <w:r w:rsidR="006669A2">
        <w:instrText xml:space="preserve"> SEQ Figure \* ARABIC </w:instrText>
      </w:r>
      <w:r w:rsidR="006669A2">
        <w:fldChar w:fldCharType="separate"/>
      </w:r>
      <w:r w:rsidR="005C098A">
        <w:rPr>
          <w:noProof/>
        </w:rPr>
        <w:t>5</w:t>
      </w:r>
      <w:r w:rsidR="006669A2">
        <w:rPr>
          <w:noProof/>
        </w:rPr>
        <w:fldChar w:fldCharType="end"/>
      </w:r>
      <w:r>
        <w:t xml:space="preserve"> : List of Transactions</w:t>
      </w: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1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23734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B450B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4168F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0B2D50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8"/>
  </w:num>
  <w:num w:numId="10">
    <w:abstractNumId w:val="10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15"/>
  </w:num>
  <w:num w:numId="18">
    <w:abstractNumId w:val="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8B5"/>
    <w:rsid w:val="00000E07"/>
    <w:rsid w:val="000458D3"/>
    <w:rsid w:val="00060726"/>
    <w:rsid w:val="0009623D"/>
    <w:rsid w:val="000C1F2D"/>
    <w:rsid w:val="000D0AB2"/>
    <w:rsid w:val="00133F4B"/>
    <w:rsid w:val="0016077C"/>
    <w:rsid w:val="0019215B"/>
    <w:rsid w:val="001977E4"/>
    <w:rsid w:val="00206956"/>
    <w:rsid w:val="00232661"/>
    <w:rsid w:val="002C2A40"/>
    <w:rsid w:val="002D521E"/>
    <w:rsid w:val="002F478D"/>
    <w:rsid w:val="00325E5D"/>
    <w:rsid w:val="003542A1"/>
    <w:rsid w:val="00370DEF"/>
    <w:rsid w:val="003832C7"/>
    <w:rsid w:val="003A1A15"/>
    <w:rsid w:val="003A2362"/>
    <w:rsid w:val="003A509C"/>
    <w:rsid w:val="003B563E"/>
    <w:rsid w:val="003B6C0A"/>
    <w:rsid w:val="003D4A41"/>
    <w:rsid w:val="003F55B8"/>
    <w:rsid w:val="00403326"/>
    <w:rsid w:val="00412564"/>
    <w:rsid w:val="004C1994"/>
    <w:rsid w:val="004D4DF4"/>
    <w:rsid w:val="004E2A8C"/>
    <w:rsid w:val="00524E17"/>
    <w:rsid w:val="00526D7B"/>
    <w:rsid w:val="00540DCF"/>
    <w:rsid w:val="00556BCA"/>
    <w:rsid w:val="0058336F"/>
    <w:rsid w:val="005B472F"/>
    <w:rsid w:val="005C098A"/>
    <w:rsid w:val="005F6107"/>
    <w:rsid w:val="00613D1A"/>
    <w:rsid w:val="00626AB4"/>
    <w:rsid w:val="006301D7"/>
    <w:rsid w:val="0063628F"/>
    <w:rsid w:val="006426E9"/>
    <w:rsid w:val="00687EBF"/>
    <w:rsid w:val="006946C2"/>
    <w:rsid w:val="006B4EFC"/>
    <w:rsid w:val="006C1F57"/>
    <w:rsid w:val="006E687E"/>
    <w:rsid w:val="00741D5A"/>
    <w:rsid w:val="007458B5"/>
    <w:rsid w:val="00746367"/>
    <w:rsid w:val="00752A66"/>
    <w:rsid w:val="0078695B"/>
    <w:rsid w:val="007A2021"/>
    <w:rsid w:val="007D1F83"/>
    <w:rsid w:val="007D37C4"/>
    <w:rsid w:val="00847313"/>
    <w:rsid w:val="00883135"/>
    <w:rsid w:val="008909B2"/>
    <w:rsid w:val="008C7E27"/>
    <w:rsid w:val="008F6D92"/>
    <w:rsid w:val="00907662"/>
    <w:rsid w:val="00975D9E"/>
    <w:rsid w:val="009A1C20"/>
    <w:rsid w:val="009B2B72"/>
    <w:rsid w:val="009F5B09"/>
    <w:rsid w:val="00A21973"/>
    <w:rsid w:val="00A228F8"/>
    <w:rsid w:val="00A25F48"/>
    <w:rsid w:val="00AA3AFF"/>
    <w:rsid w:val="00AB32AC"/>
    <w:rsid w:val="00AC41CC"/>
    <w:rsid w:val="00B450BE"/>
    <w:rsid w:val="00B61ABA"/>
    <w:rsid w:val="00BA2FC1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1317F"/>
    <w:rsid w:val="00E30BE9"/>
    <w:rsid w:val="00E4527D"/>
    <w:rsid w:val="00E64456"/>
    <w:rsid w:val="00EA2503"/>
    <w:rsid w:val="00EB3120"/>
    <w:rsid w:val="00EB69B7"/>
    <w:rsid w:val="00EC4B1C"/>
    <w:rsid w:val="00F26910"/>
    <w:rsid w:val="00F26DC4"/>
    <w:rsid w:val="00F3740C"/>
    <w:rsid w:val="00F500CD"/>
    <w:rsid w:val="00F55DF8"/>
    <w:rsid w:val="00FB2D28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457B-34A5-4B86-BF5C-3C33B12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7C416-D7B6-4640-9739-8FD61993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Rushabh Atulkumar Shah02</cp:lastModifiedBy>
  <cp:revision>99</cp:revision>
  <dcterms:created xsi:type="dcterms:W3CDTF">2015-04-03T06:34:00Z</dcterms:created>
  <dcterms:modified xsi:type="dcterms:W3CDTF">2015-04-03T12:16:00Z</dcterms:modified>
</cp:coreProperties>
</file>