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 Light" w:hAnsi="Calibri Light"/>
          <w:color w:val="1A237E"/>
          <w:sz w:val="56"/>
        </w:rPr>
        <w:t>Report Title</w:t>
      </w:r>
    </w:p>
    <w:p>
      <w:pPr>
        <w:jc w:val="center"/>
      </w:pPr>
      <w:r>
        <w:rPr>
          <w:rFonts w:ascii="Calibri Light" w:hAnsi="Calibri Light"/>
          <w:color w:val="0288D1"/>
          <w:sz w:val="28"/>
        </w:rPr>
        <w:t>Prepared for Customer Name</w:t>
      </w:r>
    </w:p>
    <w:p>
      <w:pPr>
        <w:spacing w:before="480"/>
        <w:jc w:val="center"/>
      </w:pPr>
      <w:r>
        <w:rPr>
          <w:color w:val="757575"/>
          <w:sz w:val="22"/>
        </w:rPr>
        <w:t>June 2026</w:t>
      </w:r>
    </w:p>
    <w:p>
      <w:r>
        <w:br w:type="page"/>
      </w:r>
    </w:p>
    <w:p>
      <w:pPr>
        <w:pStyle w:val="Heading1"/>
        <w:pBdr>
          <w:bottom w:val="single" w:sz="4" w:space="1" w:color="1A237E"/>
        </w:pBdr>
      </w:pPr>
      <w:r>
        <w:t>Executive Summary</w:t>
      </w:r>
    </w:p>
    <w:p>
      <w:pPr/>
      <w:r>
        <w:t>Brief overview of key findings and recommendations for this reporting period.</w:t>
      </w:r>
    </w:p>
    <w:p>
      <w:pPr>
        <w:pStyle w:val="Heading1"/>
        <w:pBdr>
          <w:bottom w:val="single" w:sz="4" w:space="1" w:color="1A237E"/>
        </w:pBdr>
      </w:pPr>
      <w:r>
        <w:t>Performance Metrics</w:t>
      </w:r>
    </w:p>
    <w:p>
      <w:pPr>
        <w:pStyle w:val="Heading2"/>
      </w:pPr>
      <w:r>
        <w:t>Deployment Overview</w:t>
      </w:r>
    </w:p>
    <w:p>
      <w:pPr/>
      <w:r>
        <w:t>Summary of current deployment state and changes.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237E" w:val="clear"/>
          </w:tcPr>
          <w:p>
            <w:r>
              <w:rPr>
                <w:b/>
                <w:color w:val="FFFFFF"/>
                <w:sz w:val="20"/>
              </w:rPr>
              <w:t>Column A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b/>
                <w:color w:val="FFFFFF"/>
                <w:sz w:val="20"/>
              </w:rPr>
              <w:t>Column B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b/>
                <w:color w:val="FFFFFF"/>
                <w:sz w:val="20"/>
              </w:rPr>
              <w:t>Column C</w:t>
            </w:r>
          </w:p>
        </w:tc>
      </w:tr>
      <w:tr>
        <w:tc>
          <w:tcPr>
            <w:tcW w:type="dxa" w:w="3120"/>
          </w:tcPr>
          <w:p>
            <w:r>
              <w:rPr>
                <w:color w:val="212121"/>
                <w:sz w:val="20"/>
              </w:rPr>
              <w:t>Data 1-1</w:t>
            </w:r>
          </w:p>
        </w:tc>
        <w:tc>
          <w:tcPr>
            <w:tcW w:type="dxa" w:w="3120"/>
          </w:tcPr>
          <w:p>
            <w:r>
              <w:rPr>
                <w:color w:val="212121"/>
                <w:sz w:val="20"/>
              </w:rPr>
              <w:t>Data 1-2</w:t>
            </w:r>
          </w:p>
        </w:tc>
        <w:tc>
          <w:tcPr>
            <w:tcW w:type="dxa" w:w="3120"/>
          </w:tcPr>
          <w:p>
            <w:r>
              <w:rPr>
                <w:color w:val="212121"/>
                <w:sz w:val="20"/>
              </w:rPr>
              <w:t>Data 1-3</w:t>
            </w:r>
          </w:p>
        </w:tc>
      </w:tr>
      <w:tr>
        <w:tc>
          <w:tcPr>
            <w:tcW w:type="dxa" w:w="3120"/>
            <w:shd w:fill="F5F8FC" w:val="clear"/>
          </w:tcPr>
          <w:p>
            <w:r>
              <w:rPr>
                <w:color w:val="212121"/>
                <w:sz w:val="20"/>
              </w:rPr>
              <w:t>Data 2-1</w:t>
            </w:r>
          </w:p>
        </w:tc>
        <w:tc>
          <w:tcPr>
            <w:tcW w:type="dxa" w:w="3120"/>
            <w:shd w:fill="F5F8FC" w:val="clear"/>
          </w:tcPr>
          <w:p>
            <w:r>
              <w:rPr>
                <w:color w:val="212121"/>
                <w:sz w:val="20"/>
              </w:rPr>
              <w:t>Data 2-2</w:t>
            </w:r>
          </w:p>
        </w:tc>
        <w:tc>
          <w:tcPr>
            <w:tcW w:type="dxa" w:w="3120"/>
            <w:shd w:fill="F5F8FC" w:val="clear"/>
          </w:tcPr>
          <w:p>
            <w:r>
              <w:rPr>
                <w:color w:val="212121"/>
                <w:sz w:val="20"/>
              </w:rPr>
              <w:t>Data 2-3</w:t>
            </w:r>
          </w:p>
        </w:tc>
      </w:tr>
      <w:tr>
        <w:tc>
          <w:tcPr>
            <w:tcW w:type="dxa" w:w="3120"/>
          </w:tcPr>
          <w:p>
            <w:r>
              <w:rPr>
                <w:color w:val="212121"/>
                <w:sz w:val="20"/>
              </w:rPr>
              <w:t>Data 3-1</w:t>
            </w:r>
          </w:p>
        </w:tc>
        <w:tc>
          <w:tcPr>
            <w:tcW w:type="dxa" w:w="3120"/>
          </w:tcPr>
          <w:p>
            <w:r>
              <w:rPr>
                <w:color w:val="212121"/>
                <w:sz w:val="20"/>
              </w:rPr>
              <w:t>Data 3-2</w:t>
            </w:r>
          </w:p>
        </w:tc>
        <w:tc>
          <w:tcPr>
            <w:tcW w:type="dxa" w:w="3120"/>
          </w:tcPr>
          <w:p>
            <w:r>
              <w:rPr>
                <w:color w:val="212121"/>
                <w:sz w:val="20"/>
              </w:rPr>
              <w:t>Data 3-3</w:t>
            </w:r>
          </w:p>
        </w:tc>
      </w:tr>
    </w:tbl>
    <w:p>
      <w:pPr>
        <w:pStyle w:val="Heading2"/>
      </w:pPr>
      <w:r>
        <w:t>Usage Trends</w:t>
      </w:r>
    </w:p>
    <w:p>
      <w:pPr/>
      <w:r>
        <w:t>Analysis of feature adoption and usage patterns.</w:t>
      </w:r>
    </w:p>
    <w:p>
      <w:pPr>
        <w:pStyle w:val="Heading1"/>
        <w:pBdr>
          <w:bottom w:val="single" w:sz="4" w:space="1" w:color="1A237E"/>
        </w:pBdr>
      </w:pPr>
      <w:r>
        <w:t>Recommendations</w:t>
      </w:r>
    </w:p>
    <w:p>
      <w:pPr>
        <w:pStyle w:val="ListNumber"/>
      </w:pPr>
      <w:r>
        <w:t>First recommendation with rationale.</w:t>
      </w:r>
    </w:p>
    <w:p>
      <w:pPr>
        <w:pStyle w:val="ListNumber"/>
      </w:pPr>
      <w:r>
        <w:t>Second recommendation with rationale.</w:t>
      </w:r>
    </w:p>
    <w:p>
      <w:pPr>
        <w:pStyle w:val="Heading1"/>
        <w:pBdr>
          <w:bottom w:val="single" w:sz="4" w:space="1" w:color="1A237E"/>
        </w:pBdr>
      </w:pPr>
      <w:r>
        <w:t>Next Steps</w:t>
      </w:r>
    </w:p>
    <w:p>
      <w:pPr>
        <w:pStyle w:val="ListBullet"/>
      </w:pPr>
      <w:r>
        <w:t>Action item with owner and timeline.</w:t>
      </w:r>
    </w:p>
    <w:p>
      <w:pPr>
        <w:pStyle w:val="ListBullet"/>
      </w:pPr>
      <w:r>
        <w:t>Second action item.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57575"/>
        <w:sz w:val="16"/>
      </w:rPr>
      <w:t>Esper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57575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 w:val="0"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 w:val="0"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21212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5757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 Light" w:hAnsi="Calibri Light"/>
      <w:b w:val="0"/>
      <w:color w:val="1A237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 Light" w:hAnsi="Calibri Light"/>
      <w:b w:val="0"/>
      <w:i w:val="0"/>
      <w:iCs/>
      <w:color w:val="0288D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/>
      <w:contextualSpacing/>
    </w:pPr>
    <w:rPr>
      <w:rFonts w:ascii="Calibri" w:hAnsi="Calibri"/>
      <w:color w:val="212121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/>
      <w:contextualSpacing/>
    </w:pPr>
    <w:rPr>
      <w:rFonts w:ascii="Calibri" w:hAnsi="Calibri"/>
      <w:color w:val="212121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567"/>
    </w:pPr>
    <w:rPr>
      <w:rFonts w:ascii="Calibri" w:hAnsi="Calibri"/>
      <w:i/>
      <w:iCs/>
      <w:color w:val="757575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