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df" ContentType="application/pdf"/>
  <Override PartName="/word/media/rId8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Neurosurgical Intervention in Intracerebral Hemorrhage: A Post-Hoc Bayesian Analysis of ATACH-2 and ERICH</w:t>
      </w:r>
    </w:p>
    <w:bookmarkStart w:id="9" w:name="abstract"/>
    <w:p>
      <w:pPr>
        <w:pStyle w:val="Heading2"/>
      </w:pPr>
      <w:r>
        <w:t xml:space="preserve">Abstract</w:t>
      </w:r>
    </w:p>
    <w:p>
      <w:pPr>
        <w:pStyle w:val="FirstParagraph"/>
      </w:pPr>
      <w:r>
        <w:rPr>
          <w:b/>
          <w:bCs/>
        </w:rPr>
        <w:t xml:space="preserve">Background</w:t>
      </w:r>
      <w:r>
        <w:t xml:space="preserve">: Hemispheric laterality influences clinical management in stroke. Given the increasing enthusiasm for surgical management of intracerebral hemorrhage (ICH), we evaluated the association of hemispheric lateralization with the likelihood of receiving neurosurgical intervention and subsequent 90-day functional outcomes.</w:t>
      </w:r>
    </w:p>
    <w:p>
      <w:pPr>
        <w:pStyle w:val="BodyText"/>
      </w:pPr>
      <w:r>
        <w:rPr>
          <w:b/>
          <w:bCs/>
        </w:rPr>
        <w:t xml:space="preserve">Methods</w:t>
      </w:r>
      <w:r>
        <w:t xml:space="preserve">: This post-hoc analysis included 3477 patients with supratentorial ICH from the ATACH-2 and ERICH studies. The primary outcome was neurosurgical intervention (hematoma evacuation, decompressive craniectomy, or other craniotomy). Secondary outcomes included external ventricular drain (EVD) placement, 90-day modified Rankin Scale (mRS), and EuroQOL domains. Hierarchical Bayesian regression models were adjusted for age, admission Glasgow Coma Scale, ICH location, ICH volume, and intraventricular hemorrhage.</w:t>
      </w:r>
    </w:p>
    <w:p>
      <w:pPr>
        <w:pStyle w:val="BodyText"/>
      </w:pPr>
      <w:r>
        <w:rPr>
          <w:b/>
          <w:bCs/>
        </w:rPr>
        <w:t xml:space="preserve">Results</w:t>
      </w:r>
      <w:r>
        <w:t xml:space="preserve">: Of 3477 patients, right hemispheric ICH was associated with a higher likelihood of receiving neurosurgical intervention (aOR 1.65, 95% CrI 1.28–2.14) and EVD placement (aOR 1.22, 95% CrI 1.04–1.44) compared to left hemispheric ICH. This association was directionally consistent across ICH locations, study cohorts, and prior specifications. Despite the lower rates of aggressive surgical management, patients with left hemispheric ICH demonstrated similar 90-day functional outcomes, exhibiting equivalent mRS scores and potentially better outcomes in specific health-related quality of life domains.</w:t>
      </w:r>
    </w:p>
    <w:p>
      <w:pPr>
        <w:pStyle w:val="BodyText"/>
      </w:pPr>
      <w:r>
        <w:rPr>
          <w:b/>
          <w:bCs/>
        </w:rPr>
        <w:t xml:space="preserve">Conclusions</w:t>
      </w:r>
      <w:r>
        <w:t xml:space="preserve">: Right hemispheric ICH is associated with a higher likelihood of neurosurgical intervention compared to left hemispheric ICH, though 90-day functional outcomes remain similar between groups. While these findings highlight a potential laterality-driven disparity in treatment paradigms, residual confounding from unmeasured anatomical severity and family preferences cannot be excluded. Prospective studies are needed to delineate the explicit clinical and prognostic drivers of surgical decision-making to optimize treatment allocation in ICH.</w:t>
      </w:r>
    </w:p>
    <w:p>
      <w:pPr>
        <w:pStyle w:val="BodyText"/>
      </w:pPr>
      <w:r>
        <w:rPr>
          <w:b/>
          <w:bCs/>
        </w:rPr>
        <w:t xml:space="preserve">Trial Registration</w:t>
      </w:r>
      <w:r>
        <w:t xml:space="preserve">: Clinicaltrials.gov Identifier: ATACH-2, NCT01176565; ERICH, NCT01202864</w:t>
      </w:r>
    </w:p>
    <w:p>
      <w:r>
        <w:br w:type="page"/>
      </w:r>
    </w:p>
    <w:bookmarkEnd w:id="9"/>
    <w:bookmarkStart w:id="10"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perhaps surgical evacuation of hemorrhage.</w:t>
      </w:r>
      <w:r>
        <w:rPr>
          <w:vertAlign w:val="superscript"/>
        </w:rPr>
        <w:t xml:space="preserve">3,4</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5–8</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9–12</w:t>
      </w:r>
    </w:p>
    <w:p>
      <w:pPr>
        <w:pStyle w:val="BodyText"/>
      </w:pPr>
      <w:r>
        <w:t xml:space="preserve">Amidst an increasing enthusiasm for surgical management of ICH</w:t>
      </w:r>
      <w:r>
        <w:rPr>
          <w:vertAlign w:val="superscript"/>
        </w:rPr>
        <w:t xml:space="preserve">3,4,13</w:t>
      </w:r>
      <w:r>
        <w:t xml:space="preserve">, it is important to understand whether hemispheric lateralization is associated with differences in surgical decision making, as has been observed for ischemic stroke. We aimed to evaluate the association of hemispheric lateralization of ICH with the likelihood of receiving neurosurgical intervention as well as with functional outcomes.</w:t>
      </w:r>
    </w:p>
    <w:bookmarkEnd w:id="10"/>
    <w:bookmarkStart w:id="20" w:name="methods"/>
    <w:p>
      <w:pPr>
        <w:pStyle w:val="Heading2"/>
      </w:pPr>
      <w:r>
        <w:t xml:space="preserve">Methods</w:t>
      </w:r>
    </w:p>
    <w:bookmarkStart w:id="11"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14,15</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11"/>
    <w:bookmarkStart w:id="12"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12"/>
    <w:bookmarkStart w:id="17" w:name="statistical-analysis"/>
    <w:p>
      <w:pPr>
        <w:pStyle w:val="Heading3"/>
      </w:pPr>
      <w:r>
        <w:t xml:space="preserve">Statistical Analysis</w:t>
      </w:r>
    </w:p>
    <w:p>
      <w:pPr>
        <w:pStyle w:val="FirstParagraph"/>
      </w:pPr>
      <w:r>
        <w:t xml:space="preserve">Associations between hemispheric laterality and clinical outcomes were evaluated using hierarchical Bayesian regression models, adjusting for the covariates listed below with a random intercept applied to the enrolling study cohort.</w:t>
      </w:r>
    </w:p>
    <w:p>
      <w:pPr>
        <w:pStyle w:val="BodyText"/>
      </w:pPr>
      <w:r>
        <w:t xml:space="preserve">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vertAlign w:val="superscript"/>
        </w:rPr>
        <w:t xml:space="preserve">16,17</w:t>
      </w:r>
      <w:r>
        <w:t xml:space="preserve"> </w:t>
      </w:r>
      <w:r>
        <w:t xml:space="preserve">This report adheres to the Bayesian Analysis Reporting Guidelines.</w:t>
      </w:r>
      <w:r>
        <w:rPr>
          <w:vertAlign w:val="superscript"/>
        </w:rPr>
        <w:t xml:space="preserve">18</w:t>
      </w:r>
    </w:p>
    <w:p>
      <w:pPr>
        <w:pStyle w:val="BodyText"/>
      </w:pPr>
      <w:r>
        <w:t xml:space="preserve">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while averaging over the empirical distribution of all covariates and the random intercept.</w:t>
      </w:r>
    </w:p>
    <w:p>
      <w:pPr>
        <w:pStyle w:val="BodyText"/>
      </w:pPr>
      <w:r>
        <w:t xml:space="preserve">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t>
      </w:r>
    </w:p>
    <w:p>
      <w:pPr>
        <w:pStyle w:val="BodyText"/>
      </w:pPr>
      <w:r>
        <w:t xml:space="preserve">All analyses were performed in R version 4.4.2 (R Foundation for Statistical Computing, Vienna, Austria). All packages used for the analysis are listed in the Supplementary Appendix.</w:t>
      </w:r>
    </w:p>
    <w:bookmarkStart w:id="13" w:name="covariate-selection"/>
    <w:p>
      <w:pPr>
        <w:pStyle w:val="Heading4"/>
      </w:pPr>
      <w:r>
        <w:t xml:space="preserve">Covariate Selection</w:t>
      </w:r>
    </w:p>
    <w:p>
      <w:pPr>
        <w:pStyle w:val="FirstParagraph"/>
      </w:pPr>
      <w:r>
        <w:t xml:space="preserve">We constructed directed acyclic graphs (DAGs) to model our causal assumptions and to guide covariate selection for each estimand.</w:t>
      </w:r>
      <w:r>
        <w:rPr>
          <w:vertAlign w:val="superscript"/>
        </w:rPr>
        <w:t xml:space="preserve">19–21</w:t>
      </w:r>
      <w:r>
        <w:t xml:space="preserve"> </w:t>
      </w:r>
      <w:r>
        <w:t xml:space="preserve">For neurosurgical intervention and other acute care outcomes, the target estimand was the total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pPr>
      <w:r>
        <w:t xml:space="preserve">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vertAlign w:val="superscript"/>
        </w:rPr>
        <w:t xml:space="preserve">20</w:t>
      </w:r>
      <w:r>
        <w:t xml:space="preserve"> </w:t>
      </w:r>
      <w:r>
        <w:t xml:space="preserve">The DAGs and further details of the covariate selection rationale are presented in the Supplementary Appendix.</w:t>
      </w:r>
    </w:p>
    <w:bookmarkEnd w:id="13"/>
    <w:bookmarkStart w:id="14" w:name="prior-distribution-specification"/>
    <w:p>
      <w:pPr>
        <w:pStyle w:val="Heading4"/>
      </w:pPr>
      <w:r>
        <w:t xml:space="preserve">Prior Distribution Specification</w:t>
      </w:r>
    </w:p>
    <w:p>
      <w:pPr>
        <w:pStyle w:val="FirstParagraph"/>
      </w:pPr>
      <w:r>
        <w:t xml:space="preserve">To assess the robustness of our findings, we applied four sets of prior distributions for the primary exposure across all models. Because the models utilize different link functions depending on the outcome distribution (e.g., logit for binary/ordinal outcomes, log for count outcomes), these priors correspond to log-odds ratios (OR), log-incidence rate ratios (IRR), or log-mean differences.</w:t>
      </w:r>
    </w:p>
    <w:p>
      <w:pPr>
        <w:pStyle w:val="BodyText"/>
      </w:pPr>
      <w:r>
        <w:t xml:space="preserve">The four prior sets were: (1) a neutral, weakly informative prior centered on a null effect (Normal(0, 0.5)); (2) an informative left-hemisphere prior favoring outcomes in left-hemispheric patients (Normal(-0.22, 0.175)); (3) an informative right-hemisphere prior favoring outcomes in right-hemispheric patients (Normal(0.18, 0.175)); and (4) a vague, diffuse prior (Normal(0, 5)) that provides minimal information to the posterior, approximating the assumptions of a frequentist analysis. Further rationale and empirical evaluations of these priors are detailed in the Supplementary Appendix.</w:t>
      </w:r>
    </w:p>
    <w:bookmarkEnd w:id="14"/>
    <w:bookmarkStart w:id="15" w:name="Xa47fa65c2b7f49382486b74e1c4ed3022604078"/>
    <w:p>
      <w:pPr>
        <w:pStyle w:val="Heading4"/>
      </w:pPr>
      <w:r>
        <w:t xml:space="preserve">Computation and Description of the Posterior Distribution</w:t>
      </w:r>
    </w:p>
    <w:p>
      <w:pPr>
        <w:pStyle w:val="FirstParagraph"/>
      </w:pPr>
      <w:r>
        <w:t xml:space="preserve">For the effect of hemispheric laterality, we report the following metrics derived from the marginalized posterior distributions: 1) the median posterior effect size with 95% credible intervals (CrI); 2) the probability of any directional difference; 3) the probability of a substantial difference defined a priori; and 4) the percentage of the posterior distribution falling outside a predefined region of practical equivalence (ROPE).</w:t>
      </w:r>
    </w:p>
    <w:p>
      <w:pPr>
        <w:pStyle w:val="BodyText"/>
      </w:pPr>
      <w:r>
        <w:t xml:space="preserve">Effect sizes are reported as marginal odds ratios (OR) for binary and ordinal models, marginal incidence rate ratios (IRR) for the count component of the negative binomial models, and average marginal expected mean differences on the original 0–100 scale for the EQ-VAS (derived via G-computation). We defined a substantial difference as an odds ratio (OR) &gt; 1.2 (or a mean difference of 5 points for the Euro VAS). In the context of invasive procedures such as hemicraniectomy or hematoma evacuation, we posited that a 20% relative shift in treatment odds represents a minimum threshold that would meaningfully impact clinical and shared decision-making. The full rationale for these thresholds and the ROPE bounds for ORs and IRRs are detailed in the Supplementary Appendix.</w:t>
      </w:r>
    </w:p>
    <w:bookmarkEnd w:id="15"/>
    <w:bookmarkStart w:id="16" w:name="Xb6b655a891224ddee9981b292c43eac49eeddc4"/>
    <w:p>
      <w:pPr>
        <w:pStyle w:val="Heading4"/>
      </w:pPr>
      <w:r>
        <w:t xml:space="preserve">Missing Data Treatment and Sensitivity Analyses</w:t>
      </w:r>
    </w:p>
    <w:p>
      <w:pPr>
        <w:pStyle w:val="FirstParagraph"/>
      </w:pPr>
      <w:r>
        <w:t xml:space="preserve">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Supplementary Appendix.</w:t>
      </w:r>
    </w:p>
    <w:p>
      <w:pPr>
        <w:pStyle w:val="BodyText"/>
      </w:pPr>
      <w:r>
        <w:t xml:space="preserve">Our primary analysis for 90-day functional outcomes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 A complete-case sensitivity analysis was also performed.</w:t>
      </w:r>
    </w:p>
    <w:p>
      <w:pPr>
        <w:pStyle w:val="BodyText"/>
      </w:pPr>
      <w:r>
        <w:t xml:space="preserve">In addition to the missing data analysis, we analyzed our models using the four sets of prior distributions described above.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t>
      </w:r>
    </w:p>
    <w:bookmarkEnd w:id="16"/>
    <w:bookmarkEnd w:id="17"/>
    <w:bookmarkStart w:id="19"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18">
        <w:r>
          <w:rPr>
            <w:rStyle w:val="Hyperlink"/>
          </w:rPr>
          <w:t xml:space="preserve">https://github.com/nikhilpatelmd/ich-laterality</w:t>
        </w:r>
      </w:hyperlink>
      <w:r>
        <w:t xml:space="preserve">.</w:t>
      </w:r>
    </w:p>
    <w:bookmarkEnd w:id="19"/>
    <w:bookmarkEnd w:id="20"/>
    <w:bookmarkStart w:id="25" w:name="results"/>
    <w:p>
      <w:pPr>
        <w:pStyle w:val="Heading2"/>
      </w:pPr>
      <w:r>
        <w:t xml:space="preserve">Results</w:t>
      </w:r>
    </w:p>
    <w:bookmarkStart w:id="21"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bookmarkEnd w:id="21"/>
    <w:bookmarkStart w:id="22"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Fewer than &lt; 0.1% of the posterior distribution fell within the ROPE.</w:t>
      </w:r>
    </w:p>
    <w:p>
      <w:pPr>
        <w:pStyle w:val="BodyText"/>
      </w:pPr>
      <w:r>
        <w:t xml:space="preserve">In exploratory subgroup analyses, the association between right hemispheric ICH and neurosurgical intervention remained directionally consistent across all evaluated ICH locations and source studies. Formal interaction analyses yielded wide credible intervals for the Ratio of Odds Ratios (ROR), providing insufficient evidence to conclude that the laterality effect differed meaningfully across these subgroups (Supplemental Table 10).</w:t>
      </w:r>
    </w:p>
    <w:p>
      <w:pPr>
        <w:pStyle w:val="BodyText"/>
      </w:pPr>
      <w:r>
        <w:t xml:space="preserve">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 Further details are available in Supplemental Tables 14-17.</w:t>
      </w:r>
    </w:p>
    <w:p>
      <w:pPr>
        <w:pStyle w:val="BodyText"/>
      </w:pPr>
      <w:r>
        <w:t xml:space="preserve">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of any directional effect (aOR &gt; 1) was 99%, the posterior probability of an aOR &gt; 1.2 was 95%, and 1% of the posterior distribution fell within the region of practical equivalence (Supplementary Table 18)</w:t>
      </w:r>
    </w:p>
    <w:bookmarkEnd w:id="22"/>
    <w:bookmarkStart w:id="23" w:name="X35a142ea301be59e62227349f8c14b571c0f47d"/>
    <w:p>
      <w:pPr>
        <w:pStyle w:val="Heading3"/>
      </w:pPr>
      <w:r>
        <w:t xml:space="preserve">Hemispheric Laterality and Secondary Outcomes</w:t>
      </w:r>
    </w:p>
    <w:p>
      <w:pPr>
        <w:pStyle w:val="FirstParagraph"/>
      </w:pPr>
      <w:r>
        <w:t xml:space="preserve">A total of 236 (13.7%) with left hemispheric ICH had an EVD placed as compared to 272 (15.5%) with right hemispheric ICH (aOR 1.22, 95% CrI 1.04–1.44). The posterior probability that the aOR exceeded</w:t>
      </w:r>
      <w:r>
        <w:t xml:space="preserve"> </w:t>
      </w:r>
      <w:r>
        <w:t xml:space="preserve">1 was 99.2%, and the posterior probability of a substantial difference (aOR &gt; 1.2) was 58.2%. 3.3% of the posterior distribution fell within the ROPE.</w:t>
      </w:r>
    </w:p>
    <w:p>
      <w:pPr>
        <w:pStyle w:val="BodyText"/>
      </w:pPr>
      <w:r>
        <w:t xml:space="preserve">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pPr>
      <w:r>
        <w:t xml:space="preserve">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p>
    <w:bookmarkEnd w:id="23"/>
    <w:bookmarkStart w:id="24" w:name="X497d2c87b36dfef7f34a746e297a0b417356437"/>
    <w:p>
      <w:pPr>
        <w:pStyle w:val="Heading3"/>
      </w:pPr>
      <w:r>
        <w:t xml:space="preserve">Hemispheric Laterality and Functional Outcomes</w:t>
      </w:r>
    </w:p>
    <w:p>
      <w:pPr>
        <w:pStyle w:val="FirstParagraph"/>
      </w:pPr>
      <w:r>
        <w:t xml:space="preserve">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3 displays the covariate-adjusted absolute marginal predicted cumulative distributions of mRS at 90 days for left and right hemispheric ICH under the neutral prior.</w:t>
      </w:r>
    </w:p>
    <w:p>
      <w:pPr>
        <w:pStyle w:val="BodyText"/>
      </w:pPr>
      <w:r>
        <w:t xml:space="preserve">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Euro 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w:t>
      </w:r>
    </w:p>
    <w:p>
      <w:pPr>
        <w:pStyle w:val="BodyText"/>
      </w:pPr>
      <w:r>
        <w:t xml:space="preserve">Results from sensitivity analyses using alternative priors and complete case analysis are presented in Supplemental Tables 11-14 and are consistent with these results.</w:t>
      </w:r>
    </w:p>
    <w:bookmarkEnd w:id="24"/>
    <w:bookmarkEnd w:id="25"/>
    <w:bookmarkStart w:id="26" w:name="discussion"/>
    <w:p>
      <w:pPr>
        <w:pStyle w:val="Heading2"/>
      </w:pPr>
      <w:r>
        <w:t xml:space="preserve">Discussion</w:t>
      </w:r>
    </w:p>
    <w:p>
      <w:pPr>
        <w:pStyle w:val="FirstParagraph"/>
      </w:pPr>
      <w:r>
        <w:t xml:space="preserve">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This association was directionally consistent across ICH locations, study cohorts, and prior specifications, though incorporating a hospital-level random intercept to account for site-level clustering modestly attenuated the effect. Despite less aggressive surgical management, patients with left hemispheric ICH demonstrated similar 90-day functional outcomes and potentially better quality of life measures. This equivalence aligns with previous literature in both ICH and ischemic stroke, where a clear association between hemispheric laterality and functional outcomes has often been difficult to establish.</w:t>
      </w:r>
      <w:r>
        <w:rPr>
          <w:vertAlign w:val="superscript"/>
        </w:rPr>
        <w:t xml:space="preserve">9,10,12,22,23</w:t>
      </w:r>
    </w:p>
    <w:p>
      <w:pPr>
        <w:pStyle w:val="BodyText"/>
      </w:pPr>
      <w:r>
        <w:t xml:space="preserve">The exact mechanisms driving these associations remain unclear, and the observational nature of the data precludes causal inferences. In both the ATACH-2 and ERICH studies, neurosurgical candidacy was not governed by strict trial protocols but was left entirely to clinician discretion. Furthermore, ATACH-2 excluded patients who required immediate, life-saving hematoma evacuation upon presentation. Therefore, the observed disparity in our cohort likely reflects a complex interplay of clinical triage, unmeasured anatomical severity, and shared decision-making rather than isolated treatment bias.</w:t>
      </w:r>
    </w:p>
    <w:p>
      <w:pPr>
        <w:pStyle w:val="BodyText"/>
      </w:pPr>
      <w:r>
        <w:t xml:space="preserve">One plausible explanation for this disparity involves language-related prognostic framing. Left-hemispheric ICH is frequently associated with aphasia, a deficit that clinicians, patients, and families historically weigh heavily when anticipating long-term quality of life.</w:t>
      </w:r>
      <w:r>
        <w:rPr>
          <w:vertAlign w:val="superscript"/>
        </w:rPr>
        <w:t xml:space="preserve">24–26</w:t>
      </w:r>
      <w:r>
        <w:t xml:space="preserve"> </w:t>
      </w:r>
      <w:r>
        <w:t xml:space="preserve">Prognostic framing that emphasizes the risk of severe aphasia may heavily influence surrogate decision-makers during early goals-of-care discussions, potentially driving lower intervention rates. This dynamic is consistent with the well-characterized self-fulfilling prophecy in neurocritical care. Conversely, severe neglect—which commonly complicates right-hemispheric lesions and profoundly impairs mobility and self-care—may be less frequently emphasized as a barrier to surgical candidacy, despite its distinct impact on caregiver burden and long-term disability.</w:t>
      </w:r>
    </w:p>
    <w:p>
      <w:pPr>
        <w:pStyle w:val="BodyText"/>
      </w:pPr>
      <w:r>
        <w:t xml:space="preserve">This study has several important limitations. First, we lacked granular data on critical confounders such as specific mass effect trajectories, degree of midline shift, hydrocephalus, and explicit family preferences. These unmeasured clinical nuances are primary drivers of surgical decision-making and could independently influence both perceived candidacy and outcomes. Second, we relied on hemispheric laterality as an imperfect proxy for true language dominance; because handedness data were unavailable, the expected 5–10% of patients with atypical dominance likely introduced non-differential misclassification, biasing our estimates toward the null. Third, absolute surgical event rates in this cohort were relatively low. Consequently, it is unclear if these associations are transportable to contemporary, unselected ICH populations or to patients with moderate-to-severe ICH who possess immediate indications for emergent surgery. Finally, attitudes toward disability and the frameworks used for shared decision-making carry significant cultural nuance, and our findings—derived primarily from cohorts in the United States—may not generalize across diverse global and socioeconomic settings.</w:t>
      </w:r>
    </w:p>
    <w:p>
      <w:pPr>
        <w:pStyle w:val="BodyText"/>
      </w:pPr>
      <w:r>
        <w:t xml:space="preserve">With recent randomized trials demonstrating the benefit of hematoma evacuation and decompressive craniectomy in appropriately selected ICH patients</w:t>
      </w:r>
      <w:r>
        <w:rPr>
          <w:vertAlign w:val="superscript"/>
        </w:rPr>
        <w:t xml:space="preserve">3,4</w:t>
      </w:r>
      <w:r>
        <w:t xml:space="preserve">, understanding the specific drivers of discretionary surgical decisions is increasingly critical. Future research should prospectively investigate the precise clinical criteria used to determine surgical candidacy, while also exploring the details of prognostic framing and shared decision-making across varying cultural contexts to ensure equitable and evidence-based neurosurgical care.</w:t>
      </w:r>
    </w:p>
    <w:bookmarkEnd w:id="26"/>
    <w:bookmarkStart w:id="27" w:name="conclusions"/>
    <w:p>
      <w:pPr>
        <w:pStyle w:val="Heading2"/>
      </w:pPr>
      <w:r>
        <w:t xml:space="preserve">Conclusions</w:t>
      </w:r>
    </w:p>
    <w:p>
      <w:pPr>
        <w:pStyle w:val="FirstParagraph"/>
      </w:pPr>
      <w:r>
        <w:t xml:space="preserve">In this post-hoc observational analysis, right hemispheric ICH was associated with a higher likelihood of neurosurgical intervention compared to left hemispheric ICH. However, 90-day functional outcomes were similar across hemispheres. While these findings highlight a potential laterality-driven disparity in treatment paradigms, residual confounding from unmeasured anatomical severity and family preferences cannot be excluded. Future prospective studies are needed to delineate the explicit clinical and prognostic drivers of surgical decision-making to optimize treatment allocation in ICH.</w:t>
      </w:r>
    </w:p>
    <w:p>
      <w:r>
        <w:br w:type="page"/>
      </w:r>
    </w:p>
    <w:bookmarkEnd w:id="27"/>
    <w:bookmarkStart w:id="28" w:name="acknowledgments"/>
    <w:p>
      <w:pPr>
        <w:pStyle w:val="Heading2"/>
      </w:pPr>
      <w:r>
        <w:t xml:space="preserve">Acknowledgments</w:t>
      </w:r>
    </w:p>
    <w:p>
      <w:pPr>
        <w:pStyle w:val="FirstParagraph"/>
      </w:pPr>
      <w:r>
        <w:rPr>
          <w:b/>
          <w:bCs/>
        </w:rPr>
        <w:t xml:space="preserve">Funding/support</w:t>
      </w:r>
      <w:r>
        <w:t xml:space="preserve">: The ATACH-2 clinical trial and ERICH prospective observational study were funded by the National Institute of Neurological Disorders and Stroke (NINDS).</w:t>
      </w:r>
    </w:p>
    <w:p>
      <w:pPr>
        <w:pStyle w:val="BodyText"/>
      </w:pPr>
      <w:r>
        <w:rPr>
          <w:b/>
          <w:bCs/>
        </w:rPr>
        <w:t xml:space="preserve">Role of the Funder/Sponsor</w:t>
      </w:r>
      <w:r>
        <w:t xml:space="preserve">: The study was supported in part by grant 5U01NS062091, NINDS and grant 5U01NS069763, NINDS. The sponsor had no role in the design and conduct of the current study.</w:t>
      </w:r>
    </w:p>
    <w:p>
      <w:pPr>
        <w:pStyle w:val="BodyText"/>
      </w:pPr>
      <w:r>
        <w:rPr>
          <w:b/>
          <w:bCs/>
        </w:rPr>
        <w:t xml:space="preserve">Conflict of Interest Disclosures</w:t>
      </w:r>
      <w:r>
        <w:t xml:space="preserve">: Dr. Magun discloses being a shareholder in Inovio Pharmaceuticals and StageZero Life Sciences.</w:t>
      </w:r>
    </w:p>
    <w:p>
      <w:pPr>
        <w:pStyle w:val="BodyText"/>
      </w:pPr>
      <w:r>
        <w:rPr>
          <w:b/>
          <w:bCs/>
        </w:rPr>
        <w:t xml:space="preserve">Additional Contributions</w:t>
      </w:r>
      <w:r>
        <w:t xml:space="preserve">: We thank all investigators for their efforts in conducting the ATACH-2 trial and ERICH study and thank all study participants for enrolling.</w:t>
      </w:r>
    </w:p>
    <w:p>
      <w:r>
        <w:br w:type="page"/>
      </w:r>
    </w:p>
    <w:bookmarkEnd w:id="28"/>
    <w:bookmarkStart w:id="80" w:name="references"/>
    <w:p>
      <w:pPr>
        <w:pStyle w:val="Heading2"/>
      </w:pPr>
      <w:r>
        <w:t xml:space="preserve">References</w:t>
      </w:r>
    </w:p>
    <w:bookmarkStart w:id="79" w:name="refs"/>
    <w:bookmarkStart w:id="30" w:name="ref-hemphillICHScoreSimple2001"/>
    <w:p>
      <w:pPr>
        <w:pStyle w:val="Bibliography"/>
      </w:pPr>
      <w:r>
        <w:t xml:space="preserve">1.</w:t>
      </w:r>
      <w:r>
        <w:t xml:space="preserve"> </w:t>
      </w:r>
      <w:r>
        <w:t xml:space="preserve">	</w:t>
      </w:r>
      <w:r>
        <w:t xml:space="preserve">Hemphill JC, Bonovich DC, Besmertis L, Manley GT, Johnston SC.</w:t>
      </w:r>
      <w:r>
        <w:t xml:space="preserve"> </w:t>
      </w:r>
      <w:hyperlink r:id="rId29">
        <w:r>
          <w:rPr>
            <w:rStyle w:val="Hyperlink"/>
          </w:rPr>
          <w:t xml:space="preserve">The</w:t>
        </w:r>
        <w:r>
          <w:rPr>
            <w:rStyle w:val="Hyperlink"/>
          </w:rPr>
          <w:t xml:space="preserve"> </w:t>
        </w:r>
        <w:r>
          <w:rPr>
            <w:rStyle w:val="Hyperlink"/>
          </w:rPr>
          <w:t xml:space="preserve">ICH Score</w:t>
        </w:r>
        <w:r>
          <w:rPr>
            <w:rStyle w:val="Hyperlink"/>
          </w:rPr>
          <w:t xml:space="preserve">:</w:t>
        </w:r>
        <w:r>
          <w:rPr>
            <w:rStyle w:val="Hyperlink"/>
          </w:rPr>
          <w:t xml:space="preserve"> </w:t>
        </w:r>
        <w:r>
          <w:rPr>
            <w:rStyle w:val="Hyperlink"/>
          </w:rPr>
          <w:t xml:space="preserve">A Simple</w:t>
        </w:r>
        <w:r>
          <w:rPr>
            <w:rStyle w:val="Hyperlink"/>
          </w:rPr>
          <w:t xml:space="preserve">,</w:t>
        </w:r>
        <w:r>
          <w:rPr>
            <w:rStyle w:val="Hyperlink"/>
          </w:rPr>
          <w:t xml:space="preserve"> </w:t>
        </w:r>
        <w:r>
          <w:rPr>
            <w:rStyle w:val="Hyperlink"/>
          </w:rPr>
          <w:t xml:space="preserve">Reliable Grading Scale</w:t>
        </w:r>
        <w:r>
          <w:rPr>
            <w:rStyle w:val="Hyperlink"/>
          </w:rPr>
          <w:t xml:space="preserve"> </w:t>
        </w:r>
        <w:r>
          <w:rPr>
            <w:rStyle w:val="Hyperlink"/>
          </w:rPr>
          <w:t xml:space="preserve">for</w:t>
        </w:r>
        <w:r>
          <w:rPr>
            <w:rStyle w:val="Hyperlink"/>
          </w:rPr>
          <w:t xml:space="preserve"> </w:t>
        </w:r>
        <w:r>
          <w:rPr>
            <w:rStyle w:val="Hyperlink"/>
          </w:rPr>
          <w:t xml:space="preserve">Intracerebral Hemorrhage</w:t>
        </w:r>
      </w:hyperlink>
      <w:r>
        <w:t xml:space="preserve">.</w:t>
      </w:r>
      <w:r>
        <w:t xml:space="preserve"> </w:t>
      </w:r>
      <w:r>
        <w:rPr>
          <w:i/>
          <w:iCs/>
        </w:rPr>
        <w:t xml:space="preserve">Stroke</w:t>
      </w:r>
      <w:r>
        <w:t xml:space="preserve">. 2001;32:891–897.</w:t>
      </w:r>
      <w:r>
        <w:t xml:space="preserve"> </w:t>
      </w:r>
    </w:p>
    <w:bookmarkEnd w:id="30"/>
    <w:bookmarkStart w:id="32" w:name="Xb1ab0250ddbe95fd4f2ad9af76384f9c74d3ea6"/>
    <w:p>
      <w:pPr>
        <w:pStyle w:val="Bibliography"/>
      </w:pPr>
      <w:r>
        <w:t xml:space="preserve">2.</w:t>
      </w:r>
      <w:r>
        <w:t xml:space="preserve"> </w:t>
      </w:r>
      <w:r>
        <w:t xml:space="preserve">	</w:t>
      </w:r>
      <w:r>
        <w:t xml:space="preserve">Sheth KN.</w:t>
      </w:r>
      <w:r>
        <w:t xml:space="preserve"> </w:t>
      </w:r>
      <w:hyperlink r:id="rId31">
        <w:r>
          <w:rPr>
            <w:rStyle w:val="Hyperlink"/>
          </w:rPr>
          <w:t xml:space="preserve">Spontaneous</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2022;387:1589–1596.</w:t>
      </w:r>
      <w:r>
        <w:t xml:space="preserve"> </w:t>
      </w:r>
    </w:p>
    <w:bookmarkEnd w:id="32"/>
    <w:bookmarkStart w:id="34"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et al.</w:t>
      </w:r>
      <w:r>
        <w:t xml:space="preserve"> </w:t>
      </w:r>
      <w:hyperlink r:id="rId33">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2024;390:1277–1289.</w:t>
      </w:r>
      <w:r>
        <w:t xml:space="preserve"> </w:t>
      </w:r>
    </w:p>
    <w:bookmarkEnd w:id="34"/>
    <w:bookmarkStart w:id="36" w:name="ref-bakoMinimallyInvasiveSurgery2023"/>
    <w:p>
      <w:pPr>
        <w:pStyle w:val="Bibliography"/>
      </w:pPr>
      <w:r>
        <w:t xml:space="preserve">4.</w:t>
      </w:r>
      <w:r>
        <w:t xml:space="preserve"> </w:t>
      </w:r>
      <w:r>
        <w:t xml:space="preserve">	</w:t>
      </w:r>
      <w:r>
        <w:t xml:space="preserve">Bako AT, Potter T, Pan AP, Tannous J, Britz G, Ziai WC, Awad I, Hanley D, Vahidy FS.</w:t>
      </w:r>
      <w:r>
        <w:t xml:space="preserve"> </w:t>
      </w:r>
      <w:hyperlink r:id="rId35">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2023;101:e1614–e1622.</w:t>
      </w:r>
      <w:r>
        <w:t xml:space="preserve"> </w:t>
      </w:r>
    </w:p>
    <w:bookmarkEnd w:id="36"/>
    <w:bookmarkStart w:id="38" w:name="ref-dileggeImpactLesionSide2005"/>
    <w:p>
      <w:pPr>
        <w:pStyle w:val="Bibliography"/>
      </w:pPr>
      <w:r>
        <w:t xml:space="preserve">5.</w:t>
      </w:r>
      <w:r>
        <w:t xml:space="preserve"> </w:t>
      </w:r>
      <w:r>
        <w:t xml:space="preserve">	</w:t>
      </w:r>
      <w:r>
        <w:t xml:space="preserve">Di Legge S, Fang J, Saposnik G, Hachinski V.</w:t>
      </w:r>
      <w:r>
        <w:t xml:space="preserve"> </w:t>
      </w:r>
      <w:hyperlink r:id="rId37">
        <w:r>
          <w:rPr>
            <w:rStyle w:val="Hyperlink"/>
          </w:rPr>
          <w:t xml:space="preserve">The impact of lesion side on acute stroke treatment</w:t>
        </w:r>
      </w:hyperlink>
      <w:r>
        <w:t xml:space="preserve">.</w:t>
      </w:r>
      <w:r>
        <w:t xml:space="preserve"> </w:t>
      </w:r>
      <w:r>
        <w:rPr>
          <w:i/>
          <w:iCs/>
        </w:rPr>
        <w:t xml:space="preserve">Neurology</w:t>
      </w:r>
      <w:r>
        <w:t xml:space="preserve">. 2005;65:81–86.</w:t>
      </w:r>
      <w:r>
        <w:t xml:space="preserve"> </w:t>
      </w:r>
    </w:p>
    <w:bookmarkEnd w:id="38"/>
    <w:bookmarkStart w:id="40" w:name="ref-foerchDifferenceRecognitionRight2005"/>
    <w:p>
      <w:pPr>
        <w:pStyle w:val="Bibliography"/>
      </w:pPr>
      <w:r>
        <w:t xml:space="preserve">6.</w:t>
      </w:r>
      <w:r>
        <w:t xml:space="preserve"> </w:t>
      </w:r>
      <w:r>
        <w:t xml:space="preserve">	</w:t>
      </w:r>
      <w:r>
        <w:t xml:space="preserve">Foerch C, Misselwitz B, Sitzer M, Berger K, Steinmetz H, Neumann-Haefelin T.</w:t>
      </w:r>
      <w:r>
        <w:t xml:space="preserve"> </w:t>
      </w:r>
      <w:hyperlink r:id="rId39">
        <w:r>
          <w:rPr>
            <w:rStyle w:val="Hyperlink"/>
          </w:rPr>
          <w:t xml:space="preserve">Difference in recognition of right and left hemispheric stroke</w:t>
        </w:r>
      </w:hyperlink>
      <w:r>
        <w:t xml:space="preserve">.</w:t>
      </w:r>
      <w:r>
        <w:t xml:space="preserve"> </w:t>
      </w:r>
      <w:r>
        <w:rPr>
          <w:i/>
          <w:iCs/>
        </w:rPr>
        <w:t xml:space="preserve">The Lancet</w:t>
      </w:r>
      <w:r>
        <w:t xml:space="preserve">. 2005;366:392–393.</w:t>
      </w:r>
      <w:r>
        <w:t xml:space="preserve"> </w:t>
      </w:r>
    </w:p>
    <w:bookmarkEnd w:id="40"/>
    <w:bookmarkStart w:id="42" w:name="ref-portegiesLeftsidedStrokesAre2015"/>
    <w:p>
      <w:pPr>
        <w:pStyle w:val="Bibliography"/>
      </w:pPr>
      <w:r>
        <w:t xml:space="preserve">7.</w:t>
      </w:r>
      <w:r>
        <w:t xml:space="preserve"> </w:t>
      </w:r>
      <w:r>
        <w:t xml:space="preserve">	</w:t>
      </w:r>
      <w:r>
        <w:t xml:space="preserve">Portegies MLP, Selwaness M, Hofman A, Koudstaal PJ, Vernooij MW, Ikram MA.</w:t>
      </w:r>
      <w:r>
        <w:t xml:space="preserve"> </w:t>
      </w:r>
      <w:hyperlink r:id="rId41">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2015;46:252–254.</w:t>
      </w:r>
      <w:r>
        <w:t xml:space="preserve"> </w:t>
      </w:r>
    </w:p>
    <w:bookmarkEnd w:id="42"/>
    <w:bookmarkStart w:id="44" w:name="ref-liStrokeLateralizationLarge2021"/>
    <w:p>
      <w:pPr>
        <w:pStyle w:val="Bibliography"/>
      </w:pPr>
      <w:r>
        <w:t xml:space="preserve">8.</w:t>
      </w:r>
      <w:r>
        <w:t xml:space="preserve"> </w:t>
      </w:r>
      <w:r>
        <w:t xml:space="preserve">	</w:t>
      </w:r>
      <w:r>
        <w:t xml:space="preserve">Li J, Zhang P, Liu Y, Chen W, Yi X, Wang C.</w:t>
      </w:r>
      <w:r>
        <w:t xml:space="preserve"> </w:t>
      </w:r>
      <w:hyperlink r:id="rId43">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r>
        <w:t xml:space="preserve"> </w:t>
      </w:r>
    </w:p>
    <w:bookmarkEnd w:id="44"/>
    <w:bookmarkStart w:id="46" w:name="X838bc231b1872fcffc9183d1e0517a825b33557"/>
    <w:p>
      <w:pPr>
        <w:pStyle w:val="Bibliography"/>
      </w:pPr>
      <w:r>
        <w:t xml:space="preserve">9.</w:t>
      </w:r>
      <w:r>
        <w:t xml:space="preserve"> </w:t>
      </w:r>
      <w:r>
        <w:t xml:space="preserve">	</w:t>
      </w:r>
      <w:r>
        <w:t xml:space="preserve">Deb-Chatterji M, Flottmann F, Meyer L, Brekenfeld C, Fiehler J, Gerloff C, Thomalla G, the GSR-ET-Investigators, Gerloff C, Fiehler J, et al.</w:t>
      </w:r>
      <w:r>
        <w:t xml:space="preserve"> </w:t>
      </w:r>
      <w:hyperlink r:id="rId45">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2022;4:58.</w:t>
      </w:r>
      <w:r>
        <w:t xml:space="preserve"> </w:t>
      </w:r>
    </w:p>
    <w:bookmarkEnd w:id="46"/>
    <w:bookmarkStart w:id="48" w:name="ref-leggeNeglectingDifference2006"/>
    <w:p>
      <w:pPr>
        <w:pStyle w:val="Bibliography"/>
      </w:pPr>
      <w:r>
        <w:t xml:space="preserve">10.</w:t>
      </w:r>
      <w:r>
        <w:t xml:space="preserve"> </w:t>
      </w:r>
      <w:r>
        <w:t xml:space="preserve">	</w:t>
      </w:r>
      <w:r>
        <w:t xml:space="preserve">Legge SD, Saposnik G, Nilanont Y, Hachinski V.</w:t>
      </w:r>
      <w:r>
        <w:t xml:space="preserve"> </w:t>
      </w:r>
      <w:hyperlink r:id="rId47">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2006;37:2066–2069.</w:t>
      </w:r>
      <w:r>
        <w:t xml:space="preserve"> </w:t>
      </w:r>
    </w:p>
    <w:bookmarkEnd w:id="48"/>
    <w:bookmarkStart w:id="50" w:name="X3c0b23a0f7bdee15362bbd61a2add3aa865ea88"/>
    <w:p>
      <w:pPr>
        <w:pStyle w:val="Bibliography"/>
      </w:pPr>
      <w:r>
        <w:t xml:space="preserve">11.</w:t>
      </w:r>
      <w:r>
        <w:t xml:space="preserve"> </w:t>
      </w:r>
      <w:r>
        <w:t xml:space="preserve">	</w:t>
      </w:r>
      <w:r>
        <w:t xml:space="preserve">Beuscher VD, Kuramatsu JB, Gerner ST, Köhn J, Lücking H, Kloska SP, Huttner HB.</w:t>
      </w:r>
      <w:r>
        <w:t xml:space="preserve"> </w:t>
      </w:r>
      <w:hyperlink r:id="rId49">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2017;43:117–123.</w:t>
      </w:r>
      <w:r>
        <w:t xml:space="preserve"> </w:t>
      </w:r>
    </w:p>
    <w:bookmarkEnd w:id="50"/>
    <w:bookmarkStart w:id="52" w:name="ref-satoHigherMortalityPatients2015"/>
    <w:p>
      <w:pPr>
        <w:pStyle w:val="Bibliography"/>
      </w:pPr>
      <w:r>
        <w:t xml:space="preserve">12.</w:t>
      </w:r>
      <w:r>
        <w:t xml:space="preserve"> </w:t>
      </w:r>
      <w:r>
        <w:t xml:space="preserve">	</w:t>
      </w:r>
      <w:r>
        <w:t xml:space="preserve">Sato S, Heeley E, Arima H, Delcourt C, Hirakawa Y, Pamidimukkala V, Li Z, Tao Q, Xu Y, Hennerici MG, et al.</w:t>
      </w:r>
      <w:r>
        <w:t xml:space="preserve"> </w:t>
      </w:r>
      <w:hyperlink r:id="rId51">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2015;86:1319–1323.</w:t>
      </w:r>
      <w:r>
        <w:t xml:space="preserve"> </w:t>
      </w:r>
    </w:p>
    <w:bookmarkEnd w:id="52"/>
    <w:bookmarkStart w:id="54" w:name="ref-beckDecompressiveCraniectomyBest2024"/>
    <w:p>
      <w:pPr>
        <w:pStyle w:val="Bibliography"/>
      </w:pPr>
      <w:r>
        <w:t xml:space="preserve">13.</w:t>
      </w:r>
      <w:r>
        <w:t xml:space="preserve"> </w:t>
      </w:r>
      <w:r>
        <w:t xml:space="preserve">	</w:t>
      </w:r>
      <w:r>
        <w:t xml:space="preserve">Beck J, Fung C, Strbian D, Bütikofer L, Z’Graggen WJ, Lang MF, Beyeler S, Gralla J, Ringel F, Schaller K, et al.</w:t>
      </w:r>
      <w:r>
        <w:t xml:space="preserve"> </w:t>
      </w:r>
      <w:hyperlink r:id="rId53">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2024;403:2395–2404.</w:t>
      </w:r>
      <w:r>
        <w:t xml:space="preserve"> </w:t>
      </w:r>
    </w:p>
    <w:bookmarkEnd w:id="54"/>
    <w:bookmarkStart w:id="56" w:name="Xe5698a0135fcc3ba325d1733a6b0d2457d0d2c6"/>
    <w:p>
      <w:pPr>
        <w:pStyle w:val="Bibliography"/>
      </w:pPr>
      <w:r>
        <w:t xml:space="preserve">14.</w:t>
      </w:r>
      <w:r>
        <w:t xml:space="preserve"> </w:t>
      </w:r>
      <w:r>
        <w:t xml:space="preserve">	</w:t>
      </w:r>
      <w:r>
        <w:t xml:space="preserve">Qureshi AI, Palesch YY, Barsan WG, Hanley DF, Hsu CY, Martin RL, Moy CS, Silbergleit R, Steiner T, Suarez JI, et al.</w:t>
      </w:r>
      <w:r>
        <w:t xml:space="preserve"> </w:t>
      </w:r>
      <w:hyperlink r:id="rId55">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2016;375:1033–1043.</w:t>
      </w:r>
      <w:r>
        <w:t xml:space="preserve"> </w:t>
      </w:r>
    </w:p>
    <w:bookmarkEnd w:id="56"/>
    <w:bookmarkStart w:id="58" w:name="ref-wooEthnicRacialVariations2013"/>
    <w:p>
      <w:pPr>
        <w:pStyle w:val="Bibliography"/>
      </w:pPr>
      <w:r>
        <w:t xml:space="preserve">15.</w:t>
      </w:r>
      <w:r>
        <w:t xml:space="preserve"> </w:t>
      </w:r>
      <w:r>
        <w:t xml:space="preserve">	</w:t>
      </w:r>
      <w:r>
        <w:t xml:space="preserve">Woo D, Rosand J, Kidwell C, McCauley JL, Osborne J, Brown MW, West SE, Rademacher EW, Waddy S, Roberts JN, et al.</w:t>
      </w:r>
      <w:r>
        <w:t xml:space="preserve"> </w:t>
      </w:r>
      <w:hyperlink r:id="rId57">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w:t>
      </w:r>
      <w:r>
        <w:t xml:space="preserve"> </w:t>
      </w:r>
    </w:p>
    <w:bookmarkEnd w:id="58"/>
    <w:bookmarkStart w:id="59" w:name="ref-dogucuBayesRulesIntroduction"/>
    <w:p>
      <w:pPr>
        <w:pStyle w:val="Bibliography"/>
      </w:pPr>
      <w:r>
        <w:t xml:space="preserve">16.</w:t>
      </w:r>
      <w:r>
        <w:t xml:space="preserve"> </w:t>
      </w:r>
      <w:r>
        <w:t xml:space="preserve">	</w:t>
      </w:r>
      <w:r>
        <w:t xml:space="preserve">Dogucu M Miles Q. Ott.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w:t>
      </w:r>
      <w:r>
        <w:t xml:space="preserve"> </w:t>
      </w:r>
    </w:p>
    <w:bookmarkEnd w:id="59"/>
    <w:bookmarkStart w:id="60" w:name="X7e5fcb01483c46ceec3804400aa01747d15580c"/>
    <w:p>
      <w:pPr>
        <w:pStyle w:val="Bibliography"/>
      </w:pPr>
      <w:r>
        <w:t xml:space="preserve">17.</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60"/>
    <w:bookmarkStart w:id="62" w:name="Xfbc06ab4e8a143dd15dec8dfd06cc82cc01ab3c"/>
    <w:p>
      <w:pPr>
        <w:pStyle w:val="Bibliography"/>
      </w:pPr>
      <w:r>
        <w:t xml:space="preserve">18.</w:t>
      </w:r>
      <w:r>
        <w:t xml:space="preserve"> </w:t>
      </w:r>
      <w:r>
        <w:t xml:space="preserve">	</w:t>
      </w:r>
      <w:r>
        <w:t xml:space="preserve">Kruschke JK.</w:t>
      </w:r>
      <w:r>
        <w:t xml:space="preserve"> </w:t>
      </w:r>
      <w:hyperlink r:id="rId61">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62"/>
    <w:bookmarkStart w:id="64" w:name="Xadd1365c52322e3ad3aed151084109b8ced3dcd"/>
    <w:p>
      <w:pPr>
        <w:pStyle w:val="Bibliography"/>
      </w:pPr>
      <w:r>
        <w:t xml:space="preserve">19.</w:t>
      </w:r>
      <w:r>
        <w:t xml:space="preserve"> </w:t>
      </w:r>
      <w:r>
        <w:t xml:space="preserve">	</w:t>
      </w:r>
      <w:r>
        <w:t xml:space="preserve">Debertin J, Jurado Vélez JA, Corlin L, Hidalgo B, Murray EJ.</w:t>
      </w:r>
      <w:r>
        <w:t xml:space="preserve"> </w:t>
      </w:r>
      <w:hyperlink r:id="rId63">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2024;35:642.</w:t>
      </w:r>
      <w:r>
        <w:t xml:space="preserve"> </w:t>
      </w:r>
    </w:p>
    <w:bookmarkEnd w:id="64"/>
    <w:bookmarkStart w:id="66" w:name="ref-tennantUseDirectedAcyclic2021"/>
    <w:p>
      <w:pPr>
        <w:pStyle w:val="Bibliography"/>
      </w:pPr>
      <w:r>
        <w:t xml:space="preserve">20.</w:t>
      </w:r>
      <w:r>
        <w:t xml:space="preserve"> </w:t>
      </w:r>
      <w:r>
        <w:t xml:space="preserve">	</w:t>
      </w:r>
      <w:r>
        <w:t xml:space="preserve">Tennant PWG, Murray EJ, Arnold KF, Berrie L, Fox MP, Gadd SC, Harrison WJ, Keeble C, Ranker LR, Textor J, et al.</w:t>
      </w:r>
      <w:r>
        <w:t xml:space="preserve"> </w:t>
      </w:r>
      <w:hyperlink r:id="rId65">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66"/>
    <w:bookmarkStart w:id="68" w:name="ref-hernanSpecifyingTargetTrial2016"/>
    <w:p>
      <w:pPr>
        <w:pStyle w:val="Bibliography"/>
      </w:pPr>
      <w:r>
        <w:t xml:space="preserve">21.</w:t>
      </w:r>
      <w:r>
        <w:t xml:space="preserve"> </w:t>
      </w:r>
      <w:r>
        <w:t xml:space="preserve">	</w:t>
      </w:r>
      <w:r>
        <w:t xml:space="preserve">Hernán MA, Sauer BC, Hernández-Díaz S, Platt R, Shrier I.</w:t>
      </w:r>
      <w:r>
        <w:t xml:space="preserve"> </w:t>
      </w:r>
      <w:hyperlink r:id="rId67">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68"/>
    <w:bookmarkStart w:id="70" w:name="Xedc2e0f0a31863d3317a2038cd4180ef4585a94"/>
    <w:p>
      <w:pPr>
        <w:pStyle w:val="Bibliography"/>
      </w:pPr>
      <w:r>
        <w:t xml:space="preserve">22.</w:t>
      </w:r>
      <w:r>
        <w:t xml:space="preserve"> </w:t>
      </w:r>
      <w:r>
        <w:t xml:space="preserve">	</w:t>
      </w:r>
      <w:r>
        <w:t xml:space="preserve">Fink JN, Frampton CM, Lyden P, Lees KR, Virtual International Stroke Trials Archive Investigators.</w:t>
      </w:r>
      <w:r>
        <w:t xml:space="preserve"> </w:t>
      </w:r>
      <w:hyperlink r:id="rId69">
        <w:r>
          <w:rPr>
            <w:rStyle w:val="Hyperlink"/>
          </w:rPr>
          <w:t xml:space="preserve">Does hemispheric lateralization influence functional and cardiovascular outcomes after stroke?: An analysis of placebo-treated patients from prospective acute stroke trials</w:t>
        </w:r>
      </w:hyperlink>
      <w:r>
        <w:t xml:space="preserve">.</w:t>
      </w:r>
      <w:r>
        <w:t xml:space="preserve"> </w:t>
      </w:r>
      <w:r>
        <w:rPr>
          <w:i/>
          <w:iCs/>
        </w:rPr>
        <w:t xml:space="preserve">Stroke</w:t>
      </w:r>
      <w:r>
        <w:t xml:space="preserve">. 2008;39:3335–3340.</w:t>
      </w:r>
      <w:r>
        <w:t xml:space="preserve"> </w:t>
      </w:r>
    </w:p>
    <w:bookmarkEnd w:id="70"/>
    <w:bookmarkStart w:id="72" w:name="ref-almekhlafiStrokeLateralityDid2019"/>
    <w:p>
      <w:pPr>
        <w:pStyle w:val="Bibliography"/>
      </w:pPr>
      <w:r>
        <w:t xml:space="preserve">23.</w:t>
      </w:r>
      <w:r>
        <w:t xml:space="preserve"> </w:t>
      </w:r>
      <w:r>
        <w:t xml:space="preserve">	</w:t>
      </w:r>
      <w:r>
        <w:t xml:space="preserve">Almekhlafi MA, Hill MD, Roos YM, Campbell BCV, Muir KW, Demchuk AM, Bracard S, Gomis M, Guillemin F, Jovin TG, et al.</w:t>
      </w:r>
      <w:r>
        <w:t xml:space="preserve"> </w:t>
      </w:r>
      <w:hyperlink r:id="rId71">
        <w:r>
          <w:rPr>
            <w:rStyle w:val="Hyperlink"/>
          </w:rPr>
          <w:t xml:space="preserve">Stroke</w:t>
        </w:r>
        <w:r>
          <w:rPr>
            <w:rStyle w:val="Hyperlink"/>
          </w:rPr>
          <w:t xml:space="preserve"> </w:t>
        </w:r>
        <w:r>
          <w:rPr>
            <w:rStyle w:val="Hyperlink"/>
          </w:rPr>
          <w:t xml:space="preserve">Laterality Did Not Modify Outcomes</w:t>
        </w:r>
        <w:r>
          <w:rPr>
            <w:rStyle w:val="Hyperlink"/>
          </w:rPr>
          <w:t xml:space="preserve"> </w:t>
        </w:r>
        <w:r>
          <w:rPr>
            <w:rStyle w:val="Hyperlink"/>
          </w:rPr>
          <w:t xml:space="preserve">in the</w:t>
        </w:r>
        <w:r>
          <w:rPr>
            <w:rStyle w:val="Hyperlink"/>
          </w:rPr>
          <w:t xml:space="preserve"> </w:t>
        </w:r>
        <w:r>
          <w:rPr>
            <w:rStyle w:val="Hyperlink"/>
          </w:rPr>
          <w:t xml:space="preserve">HERMES Meta-Analysis</w:t>
        </w:r>
        <w:r>
          <w:rPr>
            <w:rStyle w:val="Hyperlink"/>
          </w:rPr>
          <w:t xml:space="preserve"> </w:t>
        </w:r>
        <w:r>
          <w:rPr>
            <w:rStyle w:val="Hyperlink"/>
          </w:rPr>
          <w:t xml:space="preserve">of</w:t>
        </w:r>
        <w:r>
          <w:rPr>
            <w:rStyle w:val="Hyperlink"/>
          </w:rPr>
          <w:t xml:space="preserve"> </w:t>
        </w:r>
        <w:r>
          <w:rPr>
            <w:rStyle w:val="Hyperlink"/>
          </w:rPr>
          <w:t xml:space="preserve">Individual Patient Data</w:t>
        </w:r>
        <w:r>
          <w:rPr>
            <w:rStyle w:val="Hyperlink"/>
          </w:rPr>
          <w:t xml:space="preserve"> </w:t>
        </w:r>
        <w:r>
          <w:rPr>
            <w:rStyle w:val="Hyperlink"/>
          </w:rPr>
          <w:t xml:space="preserve">of 7</w:t>
        </w:r>
        <w:r>
          <w:rPr>
            <w:rStyle w:val="Hyperlink"/>
          </w:rPr>
          <w:t xml:space="preserve"> </w:t>
        </w:r>
        <w:r>
          <w:rPr>
            <w:rStyle w:val="Hyperlink"/>
          </w:rPr>
          <w:t xml:space="preserve">Trials</w:t>
        </w:r>
      </w:hyperlink>
      <w:r>
        <w:t xml:space="preserve">.</w:t>
      </w:r>
      <w:r>
        <w:t xml:space="preserve"> </w:t>
      </w:r>
      <w:r>
        <w:rPr>
          <w:i/>
          <w:iCs/>
        </w:rPr>
        <w:t xml:space="preserve">Stroke</w:t>
      </w:r>
      <w:r>
        <w:t xml:space="preserve">. 2019;50:2118–2124.</w:t>
      </w:r>
      <w:r>
        <w:t xml:space="preserve"> </w:t>
      </w:r>
    </w:p>
    <w:bookmarkEnd w:id="72"/>
    <w:bookmarkStart w:id="74" w:name="X7a4c185c12dbffdfd1dae8f81a04f8589333b44"/>
    <w:p>
      <w:pPr>
        <w:pStyle w:val="Bibliography"/>
      </w:pPr>
      <w:r>
        <w:t xml:space="preserve">24.</w:t>
      </w:r>
      <w:r>
        <w:t xml:space="preserve"> </w:t>
      </w:r>
      <w:r>
        <w:t xml:space="preserve">	</w:t>
      </w:r>
      <w:r>
        <w:t xml:space="preserve">Neugebauer H, Creutzfeldt CJ, Hemphill JC, Heuschmann PU, Jüttler E.</w:t>
      </w:r>
      <w:r>
        <w:t xml:space="preserve"> </w:t>
      </w:r>
      <w:hyperlink r:id="rId73">
        <w:r>
          <w:rPr>
            <w:rStyle w:val="Hyperlink"/>
          </w:rPr>
          <w:t xml:space="preserve">DESTINY-S</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of</w:t>
        </w:r>
        <w:r>
          <w:rPr>
            <w:rStyle w:val="Hyperlink"/>
          </w:rPr>
          <w:t xml:space="preserve"> </w:t>
        </w:r>
        <w:r>
          <w:rPr>
            <w:rStyle w:val="Hyperlink"/>
          </w:rPr>
          <w:t xml:space="preserve">Physicians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2014;21:27–34.</w:t>
      </w:r>
      <w:r>
        <w:t xml:space="preserve"> </w:t>
      </w:r>
    </w:p>
    <w:bookmarkEnd w:id="74"/>
    <w:bookmarkStart w:id="76" w:name="X891c4e92ab559843651bf648920cce7507bc2b7"/>
    <w:p>
      <w:pPr>
        <w:pStyle w:val="Bibliography"/>
      </w:pPr>
      <w:r>
        <w:t xml:space="preserve">25.</w:t>
      </w:r>
      <w:r>
        <w:t xml:space="preserve"> </w:t>
      </w:r>
      <w:r>
        <w:t xml:space="preserve">	</w:t>
      </w:r>
      <w:r>
        <w:t xml:space="preserve">Neugebauer H, Schnabl M, Lulé D, Heuschmann PU, Jüttler E, IGNITE Study Group (Initiative of German NeuroIntensive Trial Engagement).</w:t>
      </w:r>
      <w:r>
        <w:t xml:space="preserve"> </w:t>
      </w:r>
      <w:hyperlink r:id="rId75">
        <w:r>
          <w:rPr>
            <w:rStyle w:val="Hyperlink"/>
          </w:rPr>
          <w:t xml:space="preserve">Attitudes of</w:t>
        </w:r>
        <w:r>
          <w:rPr>
            <w:rStyle w:val="Hyperlink"/>
          </w:rPr>
          <w:t xml:space="preserve"> </w:t>
        </w:r>
        <w:r>
          <w:rPr>
            <w:rStyle w:val="Hyperlink"/>
          </w:rPr>
          <w:t xml:space="preserve">Patients</w:t>
        </w:r>
        <w:r>
          <w:rPr>
            <w:rStyle w:val="Hyperlink"/>
          </w:rPr>
          <w:t xml:space="preserve"> </w:t>
        </w:r>
        <w:r>
          <w:rPr>
            <w:rStyle w:val="Hyperlink"/>
          </w:rPr>
          <w:t xml:space="preserve">and</w:t>
        </w:r>
        <w:r>
          <w:rPr>
            <w:rStyle w:val="Hyperlink"/>
          </w:rPr>
          <w:t xml:space="preserve"> </w:t>
        </w:r>
        <w:r>
          <w:rPr>
            <w:rStyle w:val="Hyperlink"/>
          </w:rPr>
          <w:t xml:space="preserve">Relatives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2017;26:311–318.</w:t>
      </w:r>
      <w:r>
        <w:t xml:space="preserve"> </w:t>
      </w:r>
    </w:p>
    <w:bookmarkEnd w:id="76"/>
    <w:bookmarkStart w:id="78" w:name="X43fe660b2331ec7445277f5239a44c6686e4cba"/>
    <w:p>
      <w:pPr>
        <w:pStyle w:val="Bibliography"/>
      </w:pPr>
      <w:r>
        <w:t xml:space="preserve">26.</w:t>
      </w:r>
      <w:r>
        <w:t xml:space="preserve"> </w:t>
      </w:r>
      <w:r>
        <w:t xml:space="preserve">	</w:t>
      </w:r>
      <w:r>
        <w:t xml:space="preserve">Neugebauer H, Malakou F, Uttner I, Köpke M, Jüttler E, IGNITE Study Group (Initiative of German NeuroIntensive Trial Engagement).</w:t>
      </w:r>
      <w:r>
        <w:t xml:space="preserve"> </w:t>
      </w:r>
      <w:hyperlink r:id="rId77">
        <w:r>
          <w:rPr>
            <w:rStyle w:val="Hyperlink"/>
          </w:rPr>
          <w:t xml:space="preserve">Attitudes of</w:t>
        </w:r>
        <w:r>
          <w:rPr>
            <w:rStyle w:val="Hyperlink"/>
          </w:rPr>
          <w:t xml:space="preserve"> </w:t>
        </w:r>
        <w:r>
          <w:rPr>
            <w:rStyle w:val="Hyperlink"/>
          </w:rPr>
          <w:t xml:space="preserve">Nurses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Space-Occupying Middle Cerebral Artery Stroke</w:t>
        </w:r>
      </w:hyperlink>
      <w:r>
        <w:t xml:space="preserve">.</w:t>
      </w:r>
      <w:r>
        <w:t xml:space="preserve"> </w:t>
      </w:r>
      <w:r>
        <w:rPr>
          <w:i/>
          <w:iCs/>
        </w:rPr>
        <w:t xml:space="preserve">Neurocritical Care</w:t>
      </w:r>
      <w:r>
        <w:t xml:space="preserve">. 2019;30:132–138.</w:t>
      </w:r>
      <w:r>
        <w:t xml:space="preserve"> </w:t>
      </w:r>
    </w:p>
    <w:bookmarkEnd w:id="78"/>
    <w:bookmarkEnd w:id="79"/>
    <w:p>
      <w:r>
        <w:br w:type="page"/>
      </w:r>
    </w:p>
    <w:bookmarkEnd w:id="80"/>
    <w:bookmarkStart w:id="84"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81" w:name="tbl-1"/>
          <w:p>
            <w:pPr>
              <w:jc w:val="center"/>
            </w:pPr>
            <w:pPr>
              <w:jc w:val="left"/>
              <w:spacing w:before="200"/>
              <w:pStyle w:val="ImageCaption"/>
            </w:pPr>
            <w:r>
              <w:t xml:space="preserve">Table 1: Demographic and Clinical Characteristics of Patients with Left and Right Hemispheric Intracerebral Hemorrhage at Baseline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3,477</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Left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1,720</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Right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1,757</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SMD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713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Alaskan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2,296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LNW to ED Presentation (mins)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(59,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SBP (mm 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NIHSS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GCS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II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Previous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Location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Basal Ganglia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Thalamus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Volume (mL)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IVH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Study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ATACH-2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ERICH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defaul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p>
              </w:tc>
            </w:tr>
          </w:tbl>
          <w:bookmarkEnd w:id="81"/>
        </w:tc>
      </w:tr>
    </w:tbl>
    <w:p>
      <w:r>
        <w:br w:type="page"/>
      </w:r>
    </w:p>
    <w:tbl>
      <w:tblPr>
        <w:tblStyle w:val="Table"/>
        <w:tblW w:type="pct" w:w="5000"/>
        <w:tblLayout w:type="fixed"/>
        <w:tblLook w:firstRow="0" w:lastRow="0" w:firstColumn="0" w:lastColumn="0" w:noHBand="0" w:noVBand="0" w:val="0000"/>
      </w:tblPr>
      <w:tblGrid>
        <w:gridCol w:w="7920"/>
      </w:tblGrid>
      <w:tr>
        <w:tc>
          <w:tcPr/>
          <w:bookmarkStart w:id="82" w:name="tbl-2"/>
          <w:p>
            <w:pPr>
              <w:jc w:val="center"/>
            </w:pPr>
            <w:pPr>
              <w:jc w:val="left"/>
              <w:spacing w:before="200"/>
              <w:pStyle w:val="ImageCaption"/>
            </w:pPr>
            <w:r>
              <w:t xml:space="preserve">Table 2: Association of Hemispheric Laterality with Primary and Secondary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(0.66 - 1.91)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 (0.63 - 1.35)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(0.85 - 1.21)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41.3%</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82"/>
        </w:tc>
      </w:tr>
    </w:tbl>
    <w:p>
      <w:r>
        <w:br w:type="page"/>
      </w:r>
    </w:p>
    <w:tbl>
      <w:tblPr>
        <w:tblStyle w:val="Table"/>
        <w:tblW w:type="pct" w:w="5000"/>
        <w:tblLayout w:type="fixed"/>
        <w:tblLook w:firstRow="0" w:lastRow="0" w:firstColumn="0" w:lastColumn="0" w:noHBand="0" w:noVBand="0" w:val="0000"/>
      </w:tblPr>
      <w:tblGrid>
        <w:gridCol w:w="7920"/>
      </w:tblGrid>
      <w:tr>
        <w:tc>
          <w:tcPr/>
          <w:bookmarkStart w:id="83" w:name="tbl-3"/>
          <w:p>
            <w:pPr>
              <w:jc w:val="center"/>
            </w:pPr>
            <w:pPr>
              <w:jc w:val="left"/>
              <w:spacing w:before="200"/>
              <w:pStyle w:val="ImageCaption"/>
            </w:pPr>
            <w:r>
              <w:t xml:space="preserve">Table 3: Association of Hemispheric Laterality with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62.3%</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83"/>
        </w:tc>
      </w:tr>
    </w:tbl>
    <w:p>
      <w:r>
        <w:br w:type="page"/>
      </w:r>
    </w:p>
    <w:bookmarkEnd w:id="84"/>
    <w:bookmarkStart w:id="9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1"/>
          <w:p>
            <w:pPr>
              <w:pStyle w:val="Compact"/>
              <w:jc w:val="center"/>
            </w:pPr>
            <w:r>
              <w:drawing>
                <wp:inline>
                  <wp:extent cx="5943600" cy="5943600"/>
                  <wp:effectExtent b="0" l="0" r="0" t="0"/>
                  <wp:docPr descr="" title="" id="86" name="Picture"/>
                  <a:graphic>
                    <a:graphicData uri="http://schemas.openxmlformats.org/drawingml/2006/picture">
                      <pic:pic>
                        <pic:nvPicPr>
                          <pic:cNvPr descr="../figures/figure_sensitivity_neurosurgery_evac.pdf" id="87" name="Picture"/>
                          <pic:cNvPicPr>
                            <a:picLocks noChangeArrowheads="1" noChangeAspect="1"/>
                          </pic:cNvPicPr>
                        </pic:nvPicPr>
                        <pic:blipFill>
                          <a:blip r:embed="rId8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Prior Sensitivity Analysis for Neurosurgical Intervention</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2"/>
          <w:p>
            <w:pPr>
              <w:pStyle w:val="Compact"/>
              <w:jc w:val="center"/>
            </w:pPr>
            <w:r>
              <w:drawing>
                <wp:inline>
                  <wp:extent cx="5943600" cy="3820885"/>
                  <wp:effectExtent b="0" l="0" r="0" t="0"/>
                  <wp:docPr descr="" title="" id="90" name="Picture"/>
                  <a:graphic>
                    <a:graphicData uri="http://schemas.openxmlformats.org/drawingml/2006/picture">
                      <pic:pic>
                        <pic:nvPicPr>
                          <pic:cNvPr descr="../figures/mrs/figure_mrs_main_neutral_adjusted.pdf" id="91" name="Picture"/>
                          <pic:cNvPicPr>
                            <a:picLocks noChangeArrowheads="1" noChangeAspect="1"/>
                          </pic:cNvPicPr>
                        </pic:nvPicPr>
                        <pic:blipFill>
                          <a:blip r:embed="rId89"/>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modified Rankin Score at 90 days Stratified by ICH Laterality</w:t>
            </w:r>
          </w:p>
          <w:bookmarkEnd w:id="92"/>
        </w:tc>
      </w:tr>
    </w:tbl>
    <w:bookmarkEnd w:id="93"/>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user" w:type="character">
    <w:name w:val="Footnote Characters (user)"/>
    <w:basedOn w:val="BodyTextChar"/>
    <w:qFormat/>
    <w:rPr>
      <w:vertAlign w:val="superscrip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Characters" w:type="character">
    <w:name w:val="Endnote Characters"/>
    <w:qFormat/>
    <w:rPr>
      <w:vertAlign w:val="superscript"/>
    </w:rPr>
  </w:style>
  <w:style w:styleId="EndnoteReference" w:type="character">
    <w:name w:val="endnote reference"/>
    <w:rPr>
      <w:vertAlign w:val="superscript"/>
    </w:rPr>
  </w:style>
  <w:style w:styleId="EndnoteCharactersuser" w:type="character">
    <w:name w:val="Endnote Characters (user)"/>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590" w:before="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suppressAutoHyphens w:val="true"/>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5" Target="media/rId85.pdf" /><Relationship Type="http://schemas.openxmlformats.org/officeDocument/2006/relationships/image" Id="rId89" Target="media/rId89.pdf" /><Relationship Type="http://schemas.openxmlformats.org/officeDocument/2006/relationships/hyperlink" Id="rId73" Target="https://doi.org/10.1007/s12028-014-9956-0" TargetMode="External" /><Relationship Type="http://schemas.openxmlformats.org/officeDocument/2006/relationships/hyperlink" Id="rId75" Target="https://doi.org/10.1007/s12028-016-0362-7" TargetMode="External" /><Relationship Type="http://schemas.openxmlformats.org/officeDocument/2006/relationships/hyperlink" Id="rId77" Target="https://doi.org/10.1007/s12028-018-0586-9" TargetMode="External" /><Relationship Type="http://schemas.openxmlformats.org/officeDocument/2006/relationships/hyperlink" Id="rId39" Target="https://doi.org/10.1016/S0140-6736(05)67024-9" TargetMode="External" /><Relationship Type="http://schemas.openxmlformats.org/officeDocument/2006/relationships/hyperlink" Id="rId53" Target="https://doi.org/10.1016/S0140-6736(24)00702-5" TargetMode="External" /><Relationship Type="http://schemas.openxmlformats.org/officeDocument/2006/relationships/hyperlink" Id="rId67" Target="https://doi.org/10.1016/j.jclinepi.2016.04.014" TargetMode="External" /><Relationship Type="http://schemas.openxmlformats.org/officeDocument/2006/relationships/hyperlink" Id="rId61" Target="https://doi.org/10.1038/s41562-021-01177-7" TargetMode="External" /><Relationship Type="http://schemas.openxmlformats.org/officeDocument/2006/relationships/hyperlink" Id="rId55" Target="https://doi.org/10.1056/NEJMoa1603460" TargetMode="External" /><Relationship Type="http://schemas.openxmlformats.org/officeDocument/2006/relationships/hyperlink" Id="rId33" Target="https://doi.org/10.1056/NEJMoa2308440" TargetMode="External" /><Relationship Type="http://schemas.openxmlformats.org/officeDocument/2006/relationships/hyperlink" Id="rId31" Target="https://doi.org/10.1056/NEJMra2201449" TargetMode="External" /><Relationship Type="http://schemas.openxmlformats.org/officeDocument/2006/relationships/hyperlink" Id="rId65" Target="https://doi.org/10.1093/ije/dyaa213" TargetMode="External" /><Relationship Type="http://schemas.openxmlformats.org/officeDocument/2006/relationships/hyperlink" Id="rId63" Target="https://doi.org/10.1097/EDE.0000000000001758" TargetMode="External" /><Relationship Type="http://schemas.openxmlformats.org/officeDocument/2006/relationships/hyperlink" Id="rId51" Target="https://doi.org/10.1136/jnnp-2014-309870" TargetMode="External" /><Relationship Type="http://schemas.openxmlformats.org/officeDocument/2006/relationships/hyperlink" Id="rId49" Target="https://doi.org/10.1159/000454775" TargetMode="External" /><Relationship Type="http://schemas.openxmlformats.org/officeDocument/2006/relationships/hyperlink" Id="rId47" Target="https://doi.org/10.1161/01.STR.0000229899.66019.62" TargetMode="External" /><Relationship Type="http://schemas.openxmlformats.org/officeDocument/2006/relationships/hyperlink" Id="rId29" Target="https://doi.org/10.1161/01.STR.32.4.891" TargetMode="External" /><Relationship Type="http://schemas.openxmlformats.org/officeDocument/2006/relationships/hyperlink" Id="rId69" Target="https://doi.org/10.1161/STROKEAHA.108.523365" TargetMode="External" /><Relationship Type="http://schemas.openxmlformats.org/officeDocument/2006/relationships/hyperlink" Id="rId57" Target="https://doi.org/10.1161/STROKEAHA.113.002332" TargetMode="External" /><Relationship Type="http://schemas.openxmlformats.org/officeDocument/2006/relationships/hyperlink" Id="rId41" Target="https://doi.org/10.1161/STROKEAHA.114.007385" TargetMode="External" /><Relationship Type="http://schemas.openxmlformats.org/officeDocument/2006/relationships/hyperlink" Id="rId71" Target="https://doi.org/10.1161/STROKEAHA.118.023102" TargetMode="External" /><Relationship Type="http://schemas.openxmlformats.org/officeDocument/2006/relationships/hyperlink" Id="rId45" Target="https://doi.org/10.1186/s42466-022-00223-7" TargetMode="External" /><Relationship Type="http://schemas.openxmlformats.org/officeDocument/2006/relationships/hyperlink" Id="rId37" Target="https://doi.org/10.1212/01.wnl.0000167608.94237.aa" TargetMode="External" /><Relationship Type="http://schemas.openxmlformats.org/officeDocument/2006/relationships/hyperlink" Id="rId35" Target="https://doi.org/10.1212/WNL.0000000000207735" TargetMode="External" /><Relationship Type="http://schemas.openxmlformats.org/officeDocument/2006/relationships/hyperlink" Id="rId43" Target="https://doi.org/10.3389/fneur.2021.774247" TargetMode="External" /><Relationship Type="http://schemas.openxmlformats.org/officeDocument/2006/relationships/hyperlink" Id="rId18"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7/s12028-014-9956-0" TargetMode="External" /><Relationship Type="http://schemas.openxmlformats.org/officeDocument/2006/relationships/hyperlink" Id="rId75" Target="https://doi.org/10.1007/s12028-016-0362-7" TargetMode="External" /><Relationship Type="http://schemas.openxmlformats.org/officeDocument/2006/relationships/hyperlink" Id="rId77" Target="https://doi.org/10.1007/s12028-018-0586-9" TargetMode="External" /><Relationship Type="http://schemas.openxmlformats.org/officeDocument/2006/relationships/hyperlink" Id="rId39" Target="https://doi.org/10.1016/S0140-6736(05)67024-9" TargetMode="External" /><Relationship Type="http://schemas.openxmlformats.org/officeDocument/2006/relationships/hyperlink" Id="rId53" Target="https://doi.org/10.1016/S0140-6736(24)00702-5" TargetMode="External" /><Relationship Type="http://schemas.openxmlformats.org/officeDocument/2006/relationships/hyperlink" Id="rId67" Target="https://doi.org/10.1016/j.jclinepi.2016.04.014" TargetMode="External" /><Relationship Type="http://schemas.openxmlformats.org/officeDocument/2006/relationships/hyperlink" Id="rId61" Target="https://doi.org/10.1038/s41562-021-01177-7" TargetMode="External" /><Relationship Type="http://schemas.openxmlformats.org/officeDocument/2006/relationships/hyperlink" Id="rId55" Target="https://doi.org/10.1056/NEJMoa1603460" TargetMode="External" /><Relationship Type="http://schemas.openxmlformats.org/officeDocument/2006/relationships/hyperlink" Id="rId33" Target="https://doi.org/10.1056/NEJMoa2308440" TargetMode="External" /><Relationship Type="http://schemas.openxmlformats.org/officeDocument/2006/relationships/hyperlink" Id="rId31" Target="https://doi.org/10.1056/NEJMra2201449" TargetMode="External" /><Relationship Type="http://schemas.openxmlformats.org/officeDocument/2006/relationships/hyperlink" Id="rId65" Target="https://doi.org/10.1093/ije/dyaa213" TargetMode="External" /><Relationship Type="http://schemas.openxmlformats.org/officeDocument/2006/relationships/hyperlink" Id="rId63" Target="https://doi.org/10.1097/EDE.0000000000001758" TargetMode="External" /><Relationship Type="http://schemas.openxmlformats.org/officeDocument/2006/relationships/hyperlink" Id="rId51" Target="https://doi.org/10.1136/jnnp-2014-309870" TargetMode="External" /><Relationship Type="http://schemas.openxmlformats.org/officeDocument/2006/relationships/hyperlink" Id="rId49" Target="https://doi.org/10.1159/000454775" TargetMode="External" /><Relationship Type="http://schemas.openxmlformats.org/officeDocument/2006/relationships/hyperlink" Id="rId47" Target="https://doi.org/10.1161/01.STR.0000229899.66019.62" TargetMode="External" /><Relationship Type="http://schemas.openxmlformats.org/officeDocument/2006/relationships/hyperlink" Id="rId29" Target="https://doi.org/10.1161/01.STR.32.4.891" TargetMode="External" /><Relationship Type="http://schemas.openxmlformats.org/officeDocument/2006/relationships/hyperlink" Id="rId69" Target="https://doi.org/10.1161/STROKEAHA.108.523365" TargetMode="External" /><Relationship Type="http://schemas.openxmlformats.org/officeDocument/2006/relationships/hyperlink" Id="rId57" Target="https://doi.org/10.1161/STROKEAHA.113.002332" TargetMode="External" /><Relationship Type="http://schemas.openxmlformats.org/officeDocument/2006/relationships/hyperlink" Id="rId41" Target="https://doi.org/10.1161/STROKEAHA.114.007385" TargetMode="External" /><Relationship Type="http://schemas.openxmlformats.org/officeDocument/2006/relationships/hyperlink" Id="rId71" Target="https://doi.org/10.1161/STROKEAHA.118.023102" TargetMode="External" /><Relationship Type="http://schemas.openxmlformats.org/officeDocument/2006/relationships/hyperlink" Id="rId45" Target="https://doi.org/10.1186/s42466-022-00223-7" TargetMode="External" /><Relationship Type="http://schemas.openxmlformats.org/officeDocument/2006/relationships/hyperlink" Id="rId37" Target="https://doi.org/10.1212/01.wnl.0000167608.94237.aa" TargetMode="External" /><Relationship Type="http://schemas.openxmlformats.org/officeDocument/2006/relationships/hyperlink" Id="rId35" Target="https://doi.org/10.1212/WNL.0000000000207735" TargetMode="External" /><Relationship Type="http://schemas.openxmlformats.org/officeDocument/2006/relationships/hyperlink" Id="rId43" Target="https://doi.org/10.3389/fneur.2021.774247" TargetMode="External" /><Relationship Type="http://schemas.openxmlformats.org/officeDocument/2006/relationships/hyperlink" Id="rId18" Target="https://github.com/nikhilpatelmd/ich-laterality"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LibreOffice/26.2.3.2$Linux_X86_64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Neurosurgical Intervention in Intracerebral Hemorrhage: A Post-Hoc Bayesian Analysis of ATACH-2 and ERICH</dc:title>
  <dc:creator/>
  <cp:keywords/>
  <dcterms:created xsi:type="dcterms:W3CDTF">2026-05-06T02:50:31Z</dcterms:created>
  <dcterms:modified xsi:type="dcterms:W3CDTF">2026-05-06T02:50:31Z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Contents</vt:lpwstr>
  </property>
</Properties>
</file>