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df" ContentType="application/pdf"/>
  <Override PartName="/word/media/rId9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Neurosurgical Intervention in Intracerebral Hemorrhage: A Post-Hoc Bayesian Analysis of ATACH-2 and ERICH</w:t>
      </w:r>
    </w:p>
    <w:bookmarkStart w:id="9"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more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whether hemispheric lateralization is associated with differences in surgical decision making, as has been observed for ischemic stroke. We aimed to evaluate the association of hemispheric lateralization of ICH with the likelihood of receiving neurosurgical intervention as well as with functional outcomes.</w:t>
      </w:r>
    </w:p>
    <w:bookmarkEnd w:id="9"/>
    <w:bookmarkStart w:id="19" w:name="methods"/>
    <w:p>
      <w:pPr>
        <w:pStyle w:val="Heading2"/>
      </w:pPr>
      <w:r>
        <w:t xml:space="preserve">Methods</w:t>
      </w:r>
    </w:p>
    <w:bookmarkStart w:id="10"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0"/>
    <w:bookmarkStart w:id="11"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11"/>
    <w:bookmarkStart w:id="16" w:name="statistical-analysis"/>
    <w:p>
      <w:pPr>
        <w:pStyle w:val="Heading3"/>
      </w:pPr>
      <w:r>
        <w:t xml:space="preserve">Statistical Analysis</w:t>
      </w:r>
    </w:p>
    <w:p>
      <w:pPr>
        <w:pStyle w:val="FirstParagraph"/>
      </w:pPr>
      <w:r>
        <w:t xml:space="preserve">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 xml:space="preserve">16,17</w:t>
      </w:r>
      <w:r>
        <w:t xml:space="preserve"> </w:t>
      </w:r>
      <w:r>
        <w:t xml:space="preserve">This report adheres to the Bayesian Analysis Reporting Guidelines.</w:t>
      </w:r>
      <w:r>
        <w:rPr>
          <w:vertAlign w:val="superscript"/>
        </w:rPr>
        <w:t xml:space="preserve">18</w:t>
      </w:r>
    </w:p>
    <w:p>
      <w:pPr>
        <w:pStyle w:val="BodyText"/>
      </w:pPr>
      <w:r>
        <w:t xml:space="preserve">For binary and ordinal endpoints, we utilized hierarchical Bayesian logistic and ordinal logistic regression models, respectively. For non-binary outcomes, we employed specialized distributional models to avoid data dichotomization and accurately reflect the underlying data generating processes. Specifically, days of mechanical ventilation, a count-based outcome characterized by excess zeros, was modeled using a hierarchical Bayesian zero-inflated negative binomial regression. Exponentiated coefficients for the count component of this model are reported as incidence rate ratios (IRR). The European Quality of Life Visual Analog Scale (EQ-VAS), a bounded continuous measure, was scaled to a proportion and modeled using a hierarchical Bayesian zero-one inflated beta (ZOIB) regression. To maximize clinical interpretability, we applied G-computation to derive the average marginal expected mean difference on the original 0–100 point scale, rather than reporting proportional odds.</w:t>
      </w:r>
    </w:p>
    <w:p>
      <w:pPr>
        <w:pStyle w:val="BodyText"/>
      </w:pPr>
      <w:r>
        <w:t xml:space="preserve">Decisions on neurosurgical intervention and other aspects of acute care are highly influenced by local practice patterns and resources. 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the hospital site and compared the posterior estimates for the association with laterality.</w:t>
      </w:r>
    </w:p>
    <w:p>
      <w:pPr>
        <w:pStyle w:val="BodyText"/>
      </w:pPr>
      <w:r>
        <w:t xml:space="preserve">All analyses were performed in R version 4.4.2 (R Foundation for Statistical Computing, Vienna, Austria). ALl packages used for the analysis are listed in the Supplementary Appendix.</w:t>
      </w:r>
    </w:p>
    <w:bookmarkStart w:id="12" w:name="covariate-selection"/>
    <w:p>
      <w:pPr>
        <w:pStyle w:val="Heading4"/>
      </w:pPr>
      <w:r>
        <w:t xml:space="preserve">Covariate Selection</w:t>
      </w:r>
    </w:p>
    <w:p>
      <w:pPr>
        <w:pStyle w:val="FirstParagraph"/>
      </w:pPr>
      <w:r>
        <w:t xml:space="preserve">We constructed directed acyclic graphs (DAGs) to model our causal assumptions and to guide covariate selection for each estimand.</w:t>
      </w:r>
      <w:r>
        <w:rPr>
          <w:vertAlign w:val="superscript"/>
        </w:rPr>
        <w:t xml:space="preserve">19–21</w:t>
      </w:r>
      <w:r>
        <w:t xml:space="preserve"> </w:t>
      </w:r>
      <w:r>
        <w:t xml:space="preserve">For neurosurgical intervention and other acute care outcomes, the target estimand was the direct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pPr>
      <w:r>
        <w:t xml:space="preserve">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 xml:space="preserve">20</w:t>
      </w:r>
      <w:r>
        <w:t xml:space="preserve"> </w:t>
      </w:r>
      <w:r>
        <w:t xml:space="preserve">The DAGs and further details of the covariate selection rationale are presented in the supplementary material.</w:t>
      </w:r>
    </w:p>
    <w:bookmarkEnd w:id="12"/>
    <w:bookmarkStart w:id="13"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13"/>
    <w:bookmarkStart w:id="14" w:name="Xa47fa65c2b7f49382486b74e1c4ed3022604078"/>
    <w:p>
      <w:pPr>
        <w:pStyle w:val="Heading4"/>
      </w:pPr>
      <w:r>
        <w:t xml:space="preserve">Computation and Description of the Posterior Distribution</w:t>
      </w:r>
    </w:p>
    <w:p>
      <w:pPr>
        <w:pStyle w:val="FirstParagraph"/>
      </w:pPr>
      <w:r>
        <w:t xml:space="preserve">We report the following metrics for the effect of hemispheric laterality: 1) median posterior effect size (OR, IRR, or mean difference) with 95% CrI; 2) probability of any directional difference (e.g., P[OR] &gt; 1 or P[Mean Difference] &lt; 0); 3) probability of a substantial difference defined</w:t>
      </w:r>
      <w:r>
        <w:t xml:space="preserve"> </w:t>
      </w:r>
      <w:r>
        <w:rPr>
          <w:i/>
          <w:iCs/>
        </w:rPr>
        <w:t xml:space="preserve">a priori</w:t>
      </w:r>
      <w:r>
        <w:t xml:space="preserve"> </w:t>
      </w:r>
      <w:r>
        <w:t xml:space="preserve">(e.g., P[OR] &gt; 1.2 or P[Mean Difference] &lt; -5 points); and 4) percentage of the posterior distribution falling outside a predefined region of practical equivalence (ROPE; e.g., 0.95 &lt; OR &lt; 1.05, or ±2 points for mean differences). We defined a substantial difference as an OR &gt; 1.2, which represents a small but clinically meaningful difference in effect size commonly utilized in epidemiological research. The full rationale for these thresholds is detailed in the supplementary material.</w:t>
      </w:r>
    </w:p>
    <w:bookmarkEnd w:id="14"/>
    <w:bookmarkStart w:id="15" w:name="Xb6b655a891224ddee9981b292c43eac49eeddc4"/>
    <w:p>
      <w:pPr>
        <w:pStyle w:val="Heading4"/>
      </w:pPr>
      <w:r>
        <w:t xml:space="preserve">Missing Data Treatment and Sensitivity Analyses</w:t>
      </w:r>
    </w:p>
    <w:p>
      <w:pPr>
        <w:pStyle w:val="FirstParagraph"/>
      </w:pPr>
      <w:r>
        <w:t xml:space="preserve">Baseline covariates used in model adjustment had minimal missingness. Missingness for 90-day outcomes was more substantial but was balanced across laterality groups and key covariates. Detailed missingness rates by laterality group, assessments supporting the Missing at Random (MAR) assumption, and imputation diagnostics are reported in the Supplementary Appendix.</w:t>
      </w:r>
    </w:p>
    <w:p>
      <w:pPr>
        <w:pStyle w:val="BodyText"/>
      </w:pPr>
      <w:r>
        <w:t xml:space="preserve">Our primary analysis used multiple imputation by chained equations (MICE) to address missing outcome data, generating 20 imputed datasets with the</w:t>
      </w:r>
      <w:r>
        <w:t xml:space="preserve"> </w:t>
      </w:r>
      <w:r>
        <w:rPr>
          <w:rStyle w:val="VerbatimChar"/>
        </w:rPr>
        <w:t xml:space="preserve">mice</w:t>
      </w:r>
      <w:r>
        <w:t xml:space="preserve"> </w:t>
      </w:r>
      <w:r>
        <w:t xml:space="preserve">package.</w:t>
      </w:r>
      <w:r>
        <w:rPr>
          <w:vertAlign w:val="superscript"/>
        </w:rPr>
        <w:t xml:space="preserve">22</w:t>
      </w:r>
      <w:r>
        <w:t xml:space="preserve"> </w:t>
      </w:r>
      <w:r>
        <w:t xml:space="preserve">Imputation models included all analysis covariates and outcomes to preserve inter-variable relationships under the MAR assumption. Predictive mean matching was used for continuous and ordinal variables, logistic regression for binary variables, and polytomous regression for nominal categorical variables. Each Bayesian model was fitted separately to each imputed dataset, and posterior draws were pooled across imputations to produce the reported estimates and CrI.</w:t>
      </w:r>
    </w:p>
    <w:p>
      <w:pPr>
        <w:pStyle w:val="BodyText"/>
      </w:pPr>
      <w:r>
        <w:t xml:space="preserve">In addition to the missing data analysis, we analyzed our models using the four sets of prior distributions described above, which allowed us to examine the influence of prior choices on the posterior distributions. To explore potential effect modification, we also fitted models that included formal interaction terms between hemispheric laterality and ICH location and between laterality and study source. Subgroup-specific aORs and interaction Ratio of Odds Ratios (ROR) with 95% CrI were computed from these models to evaluate whether the laterality effect differed across subgroups. Further details on the methods and results of these sensitivity and subgroup analyses are presented in the Supplementary Appendix.</w:t>
      </w:r>
    </w:p>
    <w:bookmarkEnd w:id="15"/>
    <w:bookmarkEnd w:id="16"/>
    <w:bookmarkStart w:id="18"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17">
        <w:r>
          <w:rPr>
            <w:rStyle w:val="Hyperlink"/>
          </w:rPr>
          <w:t xml:space="preserve">https://github.com/nikhilpatelmd/ich-laterality</w:t>
        </w:r>
      </w:hyperlink>
      <w:r>
        <w:t xml:space="preserve">.</w:t>
      </w:r>
    </w:p>
    <w:bookmarkEnd w:id="18"/>
    <w:bookmarkEnd w:id="19"/>
    <w:bookmarkStart w:id="24" w:name="results"/>
    <w:p>
      <w:pPr>
        <w:pStyle w:val="Heading2"/>
      </w:pPr>
      <w:r>
        <w:t xml:space="preserve">Results</w:t>
      </w:r>
    </w:p>
    <w:bookmarkStart w:id="20"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0"/>
    <w:bookmarkStart w:id="21"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There were 86 (5.0%) with left hemispheric ICH who underwent neurosurgical intervention as compared to 144 (8.2%) with right hemispheric ICH (aOR 1.65, 95% CrI 1.28 - 2.14). The posterior probability that the aOR was greater than 1 was &gt; 99.9%. The posterior probability of the aOR being greater than 1.2, indicating a substantial difference, was 99.3%. A very small portion of the posterior probability was inside of the ROPE (&lt; 0.1%).</w:t>
      </w:r>
    </w:p>
    <w:p>
      <w:pPr>
        <w:pStyle w:val="BodyText"/>
      </w:pPr>
      <w:r>
        <w:t xml:space="preserve">Figure 1 displays the prior sensitivity analysis for neurosurgical intervention. Panel A shows the posterior distributions of covariate-adjusted predicted probabilities of neurosurgical intervention for left and right hemispheric ICH under the neutral prior, illustrating the separation in absolute risk between groups (left hemisphere: 4.86%, 95% CrI 3.98–5.84%; right hemisphere: 8.04%, 95% CrI 6.93–9.23%). Panel B overlays the posterior distributions of the absolute probability difference (Right − Left) across all four prior specifications (neutral, left-hemisphere, right-hemisphere, and flat). All four priors yielded nearly identical posterior distributions, with P(Right &gt; Left) exceeding 99.9% under every specification. The most skeptical prior (left-hemisphere) shifted the median probability difference from 3.18 to 2.21 percentage points but did not materially alter the conclusion, demonstrating that the primary finding is robust to prior choice. In a sensitivity analysis restricted to the ATACH-2 cohort, inclusion of a random intercept for hospital site slightly attenuated the point estimate and widened the credible interval but did not materially alter the direction or strength of the association. Additional sensitivity analyses, including alternative priors, complete-case analyses, and site-level clustering results, are presented in the Supplementary Appendix.</w:t>
      </w:r>
    </w:p>
    <w:bookmarkEnd w:id="21"/>
    <w:bookmarkStart w:id="22" w:name="X35a142ea301be59e62227349f8c14b571c0f47d"/>
    <w:p>
      <w:pPr>
        <w:pStyle w:val="Heading3"/>
      </w:pPr>
      <w:r>
        <w:t xml:space="preserve">Hemispheric laterality and secondary outcomes</w:t>
      </w:r>
    </w:p>
    <w:p>
      <w:pPr>
        <w:pStyle w:val="FirstParagraph"/>
      </w:pPr>
      <w:r>
        <w:t xml:space="preserve">A total of 236 (13.7%) with left hemispheric ICH had an external ventricular drain (EVD) placed as compared to 272 (15.5%) with right hemispheric ICH (aOR 1.22, 95% CrI 1.04 - 1.44). The posterior probability that the aOR was greater than 1 was 99.2%. The posterior probability that the aOR was greater than 1.2 was 58.2%. About 3.3% of the posterior distribution was inside of the ROPE.</w:t>
      </w:r>
    </w:p>
    <w:p>
      <w:pPr>
        <w:pStyle w:val="BodyText"/>
      </w:pPr>
      <w:r>
        <w:t xml:space="preserve">Other secondary outcomes showed smaller and less certain associations with hemispheric laterality.</w:t>
      </w:r>
    </w:p>
    <w:bookmarkEnd w:id="22"/>
    <w:bookmarkStart w:id="23" w:name="X497d2c87b36dfef7f34a746e297a0b417356437"/>
    <w:p>
      <w:pPr>
        <w:pStyle w:val="Heading3"/>
      </w:pPr>
      <w:r>
        <w:t xml:space="preserve">Hemispheric laterality and functional outcomes</w:t>
      </w:r>
    </w:p>
    <w:p>
      <w:pPr>
        <w:pStyle w:val="FirstParagraph"/>
      </w:pPr>
      <w:r>
        <w:t xml:space="preserve">The associations between mRS at 90 days and functional outcomes are described in Table 3. The aOR for a worse mRS score at 90 days associated with right hemispheric ICH compared to left hemispheric ICH was 0.99 (95% CrI 0.98 - 1.00). The posterior probability that the aOR was &gt; 1 was 0.7%. The posterior probability that the aOR was &gt; 1.2 was &lt; 0.1%. About &gt; 99.9% of the posterior distribution was inside of the ROPE.</w:t>
      </w:r>
    </w:p>
    <w:p>
      <w:pPr>
        <w:pStyle w:val="BodyText"/>
      </w:pPr>
      <w:r>
        <w:t xml:space="preserve">When examining HRQoL domains, we observed similar functional outcomes between groups. The aOR for a worse EuroQOL - Mobility score associated with right hemispheric ICH compared to left hemispheric ICH was 1.03 (95% CrI 1.01 - 1.05) with similar results for the Self-Care domain. The posterior probability that the aOR was &gt; 1 was &gt; 99.9% for both domains, with the posterior probability that the aOR was &gt; 1.2 being &lt; 0.1%.</w:t>
      </w:r>
    </w:p>
    <w:p>
      <w:pPr>
        <w:pStyle w:val="BodyText"/>
      </w:pPr>
      <w:r>
        <w:t xml:space="preserve">Results from using different priors and sensitivity analyses are presented in the Supplementary Appendix and were consistent with the primary findings.</w:t>
      </w:r>
    </w:p>
    <w:bookmarkEnd w:id="23"/>
    <w:bookmarkEnd w:id="24"/>
    <w:bookmarkStart w:id="25" w:name="discussion"/>
    <w:p>
      <w:pPr>
        <w:pStyle w:val="Heading2"/>
      </w:pPr>
      <w:r>
        <w:t xml:space="preserve">Discussion</w:t>
      </w:r>
    </w:p>
    <w:p>
      <w:pPr>
        <w:pStyle w:val="FirstParagraph"/>
      </w:pPr>
      <w:r>
        <w:t xml:space="preserve">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This finding was robust to prior specification: all four prior distributions yielded nearly identical posteriors with P(Right &gt; Left) exceeding 99.9%, and only marginal shifts in the posterior median (Figure 1). In exploratory subgroup analyses with formal interaction terms, the laterality association was directionally consistent across ICH locations and between the two source studies; however, the interaction Ratio of Odds Ratios (ROR) credible intervals were wide and included 1, precluding definitive conclusions about subgroup heterogeneity (Supplementary Appendix). Despite a lower observed rate of surgical intervention, patients with left hemispheric ICH had similar 90-day functional outcomes to those with right hemispheric ICH, a finding consistent across definitions including the mRS and HRQoL domains. Of note, our functional outcome models estimated the total association of hemispheric laterality with outcome — inclusive of downstream differences in surgical management — rather than the direct association conditional on treatment received, thereby reflecting the overall prognostic profile of laterality as encountered in clinical practice.</w:t>
      </w:r>
    </w:p>
    <w:p>
      <w:pPr>
        <w:pStyle w:val="BodyText"/>
      </w:pPr>
      <w:r>
        <w:t xml:space="preserve">This finding is noteworthy in light of recent evidence suggesting that surgical interventions, such as hematoma evacuation and decompressive craniectomy, may improve outcomes in some ICH patients</w:t>
      </w:r>
      <w:r>
        <w:rPr>
          <w:vertAlign w:val="superscript"/>
        </w:rPr>
        <w:t xml:space="preserve">3,13</w:t>
      </w:r>
      <w:r>
        <w:t xml:space="preserve">. In both the ATACH-2 and ERICH studies, neurosurgical candidacy was not defined by strict trial protocols but was left to the discretion of the treating clinicians based on local institutional practices. Decisions regarding hematoma evacuation or decompressive craniectomy were inherently influenced by temporal trends and site-specific protocols, which varied considerably over the study periods. While we adjusted for key baseline covariates and included a study-level random effect, these institutional and temporal practice variations likely shaped the overall landscape of surgical care observed in our cohort.</w:t>
      </w:r>
    </w:p>
    <w:p>
      <w:pPr>
        <w:pStyle w:val="BodyText"/>
      </w:pPr>
      <w:r>
        <w:t xml:space="preserve">The observed association between laterality and neurosurgical intervention may reflect several mechanisms, which our observational design cannot fully disentangle. One possibility is a treatment selection bias in which clinicians, patients, or families preferentially avoid surgical intervention for dominant-hemispheric injuries due to concerns about post-operative language deficits. Indeed, several studies have found that clinicians, patients, and families place particular importance on language function and are less optimistic about dominant-hemispheric injuries.</w:t>
      </w:r>
      <w:r>
        <w:rPr>
          <w:vertAlign w:val="superscript"/>
        </w:rPr>
        <w:t xml:space="preserve">23–25</w:t>
      </w:r>
      <w:r>
        <w:t xml:space="preserve"> </w:t>
      </w:r>
      <w:r>
        <w:t xml:space="preserve">Prognostic framing that emphasizes aphasia may also affect surrogate decision-making and goals-of-care discussions, which in turn may influence willingness to pursue surgical intervention.</w:t>
      </w:r>
    </w:p>
    <w:p>
      <w:pPr>
        <w:pStyle w:val="BodyText"/>
      </w:pPr>
      <w:r>
        <w:t xml:space="preserve">However, alternative explanations should also be considered. Residual confounding from unmeasured clinical factors — such as proximity to eloquent cortex, degree of mass effect, extent of hydrocephalus, midline shift, or more granular anatomical features beyond our lobar-versus-deep classification — may independently influence both perceived surgical candidacy and laterality-associated outcomes. Similarly, family preferences, cultural attitudes toward disability, and language-related prognostic framing could influence treatment decisions in ways that are associated with hemispheric laterality but are not captured in our dataset. Our models adjusted for key measured confounders including ICH volume, location, GCS, and IVH, but the observational and post-hoc nature of this analysis means that residual confounding cannot be excluded. Accordingly, the association we observed should not be interpreted as definitive evidence of treatment inequity, but rather as a signal warranting prospective investigation. If confirmed, this disparity could have meaningful clinical implications — patients with dominant-hemispheric ICH may report equivalent quality of life outcomes compared to those with non-dominant hemispheric injury, and prevailing assumptions about poor prognosis in this group may not be warranted. Furthermore, the observation that functional outcomes were similar between groups despite less aggressive care for left hemispheric ICH is notable. This equivalence could be partly due to the differential impact of specific neurocognitive deficits on standardized rating scales; for example, severe neglect associated with right hemispheric lesions can profoundly impair mobility and self-care domains, whereas aphasia from left hemispheric lesions may influence mRS and caregiver perceptions of disability in different ways.</w:t>
      </w:r>
    </w:p>
    <w:p>
      <w:pPr>
        <w:pStyle w:val="BodyText"/>
      </w:pPr>
      <w:r>
        <w:t xml:space="preserve">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r>
        <w:rPr>
          <w:vertAlign w:val="superscript"/>
        </w:rPr>
        <w:t xml:space="preserve">12</w:t>
      </w:r>
      <w:r>
        <w:t xml:space="preserve"> </w:t>
      </w:r>
      <w:r>
        <w:t xml:space="preserve">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r>
        <w:rPr>
          <w:vertAlign w:val="superscript"/>
        </w:rPr>
        <w:t xml:space="preserve">26,27</w:t>
      </w:r>
      <w:r>
        <w:t xml:space="preserve"> </w:t>
      </w:r>
      <w:r>
        <w:t xml:space="preserve">This may be particularly challenging to study in ischemic stroke due to how the NIHSS is used to guide treatment decisions and is also biased toward higher scores in patients with left hemispheric injury.</w:t>
      </w:r>
      <w:r>
        <w:rPr>
          <w:vertAlign w:val="superscript"/>
        </w:rPr>
        <w:t xml:space="preserve">28</w:t>
      </w:r>
    </w:p>
    <w:p>
      <w:pPr>
        <w:pStyle w:val="BodyText"/>
      </w:pPr>
      <w:r>
        <w:t xml:space="preserve">Our study has some limitations. As a post-hoc observational analysis, our findings demonstrate associations and cannot establish causality. We used left versus right hemispheric laterality as a proxy for hemispheric dominance; however, approximately 5–10% of the general population — and a higher proportion of left-handed individuals — have atypical (right or bilateral) language dominance, and handedness data were not available in either cohort. As a result, some degree of misclassification of dominant versus non-dominant hemispheric injury is expected, which would bias effect estimates toward the null. Residual confounding from unmeasured clinical variables — including more granular measures of hematoma anatomy, eloquent cortex involvement, mass effect, and hydrocephalus — may account for some or all of the observed differences. Our primary models included a random intercept for study (ATACH-2 versus ERICH) but could not account for site-level clustering across all centers because site identifiers were unavailable for the ERICH cohort; a sensitivity analysis restricted to ATACH-2 incorporating a site-level random intercept yielded qualitatively similar results, but residual confounding from unmeasured center-level practice variation in the full cohort cannot be excluded. The absolute number of patients undergoing surgery was relatively low, making it unclear how these findings might translate to settings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Additionally, we could not assess unmeasured factors such as family preferences, language-related prognostic framing by clinicians, or the specific content of goals-of-care discussions, all of which may influence treatment decisions in laterality-dependent ways. With the recent publication of several large RCTs demonstrating the benefit of hematoma evacuation and decompressive craniectomy in ICH</w:t>
      </w:r>
      <w:r>
        <w:rPr>
          <w:vertAlign w:val="superscript"/>
        </w:rPr>
        <w:t xml:space="preserve">3,13</w:t>
      </w:r>
      <w:r>
        <w:t xml:space="preserve">, it will be imperative to confirm our findings with additional cohorts. Future research should focus on prospectively evaluating the association between hemispheric laterality and treatment decisions, and on surveying clinicians, patients, and families with a variety of cultural and socioeconomic backgrounds to better understand the factors that drive observed differences in intervention rates.</w:t>
      </w:r>
    </w:p>
    <w:bookmarkEnd w:id="25"/>
    <w:bookmarkStart w:id="26" w:name="conclusions"/>
    <w:p>
      <w:pPr>
        <w:pStyle w:val="Heading2"/>
      </w:pPr>
      <w:r>
        <w:t xml:space="preserve">Conclusions</w:t>
      </w:r>
    </w:p>
    <w:p>
      <w:pPr>
        <w:pStyle w:val="FirstParagraph"/>
      </w:pPr>
      <w:r>
        <w:t xml:space="preserve">In this post-hoc observational analysis, left hemispheric ICH was associated with a lower likelihood of neurosurgical intervention and external ventricular drain placement compared to right hemispheric ICH. Despite this difference in aggressive care, left hemispheric ICH was not associated with worse functional outcomes at 90 days, with patients exhibiting similar mRS and HRQoL profiles. While these associations are consistent with possible laterality-related differences in treatment decisions, residual confounding from unmeasured clinical and social factors cannot be excluded. These findings highlight the need for prospective studies to clarify whether hemispheric laterality independently influences treatment allocation and to ensure equitable access to surgical intervention in ICH.</w:t>
      </w:r>
    </w:p>
    <w:p>
      <w:r>
        <w:br w:type="page"/>
      </w:r>
    </w:p>
    <w:bookmarkEnd w:id="26"/>
    <w:bookmarkStart w:id="82" w:name="references"/>
    <w:p>
      <w:pPr>
        <w:pStyle w:val="Heading2"/>
      </w:pPr>
      <w:r>
        <w:t xml:space="preserve">References</w:t>
      </w:r>
    </w:p>
    <w:bookmarkStart w:id="81" w:name="refs"/>
    <w:bookmarkStart w:id="28"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27">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28"/>
    <w:bookmarkStart w:id="30" w:name="Xb1ab0250ddbe95fd4f2ad9af76384f9c74d3ea6"/>
    <w:p>
      <w:pPr>
        <w:pStyle w:val="Bibliography"/>
      </w:pPr>
      <w:r>
        <w:t xml:space="preserve">2.</w:t>
      </w:r>
      <w:r>
        <w:t xml:space="preserve"> </w:t>
      </w:r>
      <w:r>
        <w:t xml:space="preserve">	</w:t>
      </w:r>
      <w:r>
        <w:t xml:space="preserve">Sheth KN.</w:t>
      </w:r>
      <w:r>
        <w:t xml:space="preserve"> </w:t>
      </w:r>
      <w:hyperlink r:id="rId29">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30"/>
    <w:bookmarkStart w:id="32"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w:t>
      </w:r>
      <w:r>
        <w:t xml:space="preserve"> </w:t>
      </w:r>
      <w:hyperlink r:id="rId31">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32"/>
    <w:bookmarkStart w:id="34"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33">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34"/>
    <w:bookmarkStart w:id="36" w:name="ref-dileggeImpactLesionSide2005"/>
    <w:p>
      <w:pPr>
        <w:pStyle w:val="Bibliography"/>
      </w:pPr>
      <w:r>
        <w:t xml:space="preserve">5.</w:t>
      </w:r>
      <w:r>
        <w:t xml:space="preserve"> </w:t>
      </w:r>
      <w:r>
        <w:t xml:space="preserve">	</w:t>
      </w:r>
      <w:r>
        <w:t xml:space="preserve">Di Legge S, Fang J, Saposnik G, Hachinski V.</w:t>
      </w:r>
      <w:r>
        <w:t xml:space="preserve"> </w:t>
      </w:r>
      <w:hyperlink r:id="rId35">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6"/>
    <w:bookmarkStart w:id="38"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37">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38"/>
    <w:bookmarkStart w:id="40"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39">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40"/>
    <w:bookmarkStart w:id="42" w:name="ref-liStrokeLateralizationLarge2021"/>
    <w:p>
      <w:pPr>
        <w:pStyle w:val="Bibliography"/>
      </w:pPr>
      <w:r>
        <w:t xml:space="preserve">8.</w:t>
      </w:r>
      <w:r>
        <w:t xml:space="preserve"> </w:t>
      </w:r>
      <w:r>
        <w:t xml:space="preserve">	</w:t>
      </w:r>
      <w:r>
        <w:t xml:space="preserve">Li J, Zhang P, Liu Y, Chen W, Yi X, Wang C.</w:t>
      </w:r>
      <w:r>
        <w:t xml:space="preserve"> </w:t>
      </w:r>
      <w:hyperlink r:id="rId41">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2"/>
    <w:bookmarkStart w:id="44"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et al.</w:t>
      </w:r>
      <w:r>
        <w:t xml:space="preserve"> </w:t>
      </w:r>
      <w:hyperlink r:id="rId43">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44"/>
    <w:bookmarkStart w:id="46"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45">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6"/>
    <w:bookmarkStart w:id="48"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47">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48"/>
    <w:bookmarkStart w:id="50"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et al.</w:t>
      </w:r>
      <w:r>
        <w:t xml:space="preserve"> </w:t>
      </w:r>
      <w:hyperlink r:id="rId49">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50"/>
    <w:bookmarkStart w:id="52"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et al.</w:t>
      </w:r>
      <w:r>
        <w:t xml:space="preserve"> </w:t>
      </w:r>
      <w:hyperlink r:id="rId51">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52"/>
    <w:bookmarkStart w:id="54"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et al.</w:t>
      </w:r>
      <w:r>
        <w:t xml:space="preserve"> </w:t>
      </w:r>
      <w:hyperlink r:id="rId53">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54"/>
    <w:bookmarkStart w:id="56"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et al.</w:t>
      </w:r>
      <w:r>
        <w:t xml:space="preserve"> </w:t>
      </w:r>
      <w:hyperlink r:id="rId55">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56"/>
    <w:bookmarkStart w:id="57" w:name="ref-dogucuBayesRulesIntroduction"/>
    <w:p>
      <w:pPr>
        <w:pStyle w:val="Bibliography"/>
      </w:pPr>
      <w:r>
        <w:t xml:space="preserve">16.</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57"/>
    <w:bookmarkStart w:id="58" w:name="X7e5fcb01483c46ceec3804400aa01747d15580c"/>
    <w:p>
      <w:pPr>
        <w:pStyle w:val="Bibliography"/>
      </w:pPr>
      <w:r>
        <w:t xml:space="preserve">17.</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58"/>
    <w:bookmarkStart w:id="60" w:name="Xfbc06ab4e8a143dd15dec8dfd06cc82cc01ab3c"/>
    <w:p>
      <w:pPr>
        <w:pStyle w:val="Bibliography"/>
      </w:pPr>
      <w:r>
        <w:t xml:space="preserve">18.</w:t>
      </w:r>
      <w:r>
        <w:t xml:space="preserve"> </w:t>
      </w:r>
      <w:r>
        <w:t xml:space="preserve">	</w:t>
      </w:r>
      <w:r>
        <w:t xml:space="preserve">Kruschke JK.</w:t>
      </w:r>
      <w:r>
        <w:t xml:space="preserve"> </w:t>
      </w:r>
      <w:hyperlink r:id="rId59">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60"/>
    <w:bookmarkStart w:id="62"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61">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62"/>
    <w:bookmarkStart w:id="64"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et al.</w:t>
      </w:r>
      <w:r>
        <w:t xml:space="preserve"> </w:t>
      </w:r>
      <w:hyperlink r:id="rId63">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64"/>
    <w:bookmarkStart w:id="66"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65">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66"/>
    <w:bookmarkStart w:id="68" w:name="ref-buurenMiceMultivariateImputation2011"/>
    <w:p>
      <w:pPr>
        <w:pStyle w:val="Bibliography"/>
      </w:pPr>
      <w:r>
        <w:t xml:space="preserve">22.</w:t>
      </w:r>
      <w:r>
        <w:t xml:space="preserve"> </w:t>
      </w:r>
      <w:r>
        <w:t xml:space="preserve">	</w:t>
      </w:r>
      <w:r>
        <w:t xml:space="preserve">Buuren SV, Groothuis-Oudshoorn K.</w:t>
      </w:r>
      <w:r>
        <w:t xml:space="preserve"> </w:t>
      </w:r>
      <w:hyperlink r:id="rId67">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w:t>
      </w:r>
      <w:r>
        <w:t xml:space="preserve"> </w:t>
      </w:r>
      <w:r>
        <w:rPr>
          <w:i/>
          <w:iCs/>
        </w:rPr>
        <w:t xml:space="preserve">Journal of Statistical Software</w:t>
      </w:r>
      <w:r>
        <w:t xml:space="preserve">. 2011;45.</w:t>
      </w:r>
      <w:r>
        <w:t xml:space="preserve"> </w:t>
      </w:r>
    </w:p>
    <w:bookmarkEnd w:id="68"/>
    <w:bookmarkStart w:id="70" w:name="X7a4c185c12dbffdfd1dae8f81a04f8589333b44"/>
    <w:p>
      <w:pPr>
        <w:pStyle w:val="Bibliography"/>
      </w:pPr>
      <w:r>
        <w:t xml:space="preserve">23.</w:t>
      </w:r>
      <w:r>
        <w:t xml:space="preserve"> </w:t>
      </w:r>
      <w:r>
        <w:t xml:space="preserve">	</w:t>
      </w:r>
      <w:r>
        <w:t xml:space="preserve">Neugebauer H, Creutzfeldt CJ, Hemphill JC, Heuschmann PU, Jüttler E.</w:t>
      </w:r>
      <w:r>
        <w:t xml:space="preserve"> </w:t>
      </w:r>
      <w:hyperlink r:id="rId69">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70"/>
    <w:bookmarkStart w:id="72" w:name="X891c4e92ab559843651bf648920cce7507bc2b7"/>
    <w:p>
      <w:pPr>
        <w:pStyle w:val="Bibliography"/>
      </w:pPr>
      <w:r>
        <w:t xml:space="preserve">24.</w:t>
      </w:r>
      <w:r>
        <w:t xml:space="preserve"> </w:t>
      </w:r>
      <w:r>
        <w:t xml:space="preserve">	</w:t>
      </w:r>
      <w:r>
        <w:t xml:space="preserve">Neugebauer H, Schnabl M, Lulé D, Heuschmann PU, Jüttler E, IGNITE Study Group (Initiative of German NeuroIntensive Trial Engagement).</w:t>
      </w:r>
      <w:r>
        <w:t xml:space="preserve"> </w:t>
      </w:r>
      <w:hyperlink r:id="rId71">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72"/>
    <w:bookmarkStart w:id="74" w:name="X43fe660b2331ec7445277f5239a44c6686e4cba"/>
    <w:p>
      <w:pPr>
        <w:pStyle w:val="Bibliography"/>
      </w:pPr>
      <w:r>
        <w:t xml:space="preserve">25.</w:t>
      </w:r>
      <w:r>
        <w:t xml:space="preserve"> </w:t>
      </w:r>
      <w:r>
        <w:t xml:space="preserve">	</w:t>
      </w:r>
      <w:r>
        <w:t xml:space="preserve">Neugebauer H, Malakou F, Uttner I, Köpke M, Jüttler E, IGNITE Study Group (Initiative of German NeuroIntensive Trial Engagement).</w:t>
      </w:r>
      <w:r>
        <w:t xml:space="preserve"> </w:t>
      </w:r>
      <w:hyperlink r:id="rId73">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74"/>
    <w:bookmarkStart w:id="76" w:name="Xedc2e0f0a31863d3317a2038cd4180ef4585a94"/>
    <w:p>
      <w:pPr>
        <w:pStyle w:val="Bibliography"/>
      </w:pPr>
      <w:r>
        <w:t xml:space="preserve">26.</w:t>
      </w:r>
      <w:r>
        <w:t xml:space="preserve"> </w:t>
      </w:r>
      <w:r>
        <w:t xml:space="preserve">	</w:t>
      </w:r>
      <w:r>
        <w:t xml:space="preserve">Fink JN, Frampton CM, Lyden P, Lees KR, Virtual International Stroke Trials Archive Investigators.</w:t>
      </w:r>
      <w:r>
        <w:t xml:space="preserve"> </w:t>
      </w:r>
      <w:hyperlink r:id="rId75">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2008;39:3335–3340.</w:t>
      </w:r>
      <w:r>
        <w:t xml:space="preserve"> </w:t>
      </w:r>
    </w:p>
    <w:bookmarkEnd w:id="76"/>
    <w:bookmarkStart w:id="78" w:name="ref-almekhlafiStrokeLateralityDid2019"/>
    <w:p>
      <w:pPr>
        <w:pStyle w:val="Bibliography"/>
      </w:pPr>
      <w:r>
        <w:t xml:space="preserve">27.</w:t>
      </w:r>
      <w:r>
        <w:t xml:space="preserve"> </w:t>
      </w:r>
      <w:r>
        <w:t xml:space="preserve">	</w:t>
      </w:r>
      <w:r>
        <w:t xml:space="preserve">Almekhlafi MA, Hill MD, Roos YM, Campbell BCV, Muir KW, Demchuk AM, Bracard S, Gomis M, Guillemin F, Jovin TG, et al.</w:t>
      </w:r>
      <w:r>
        <w:t xml:space="preserve"> </w:t>
      </w:r>
      <w:hyperlink r:id="rId77">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2019;50:2118–2124.</w:t>
      </w:r>
      <w:r>
        <w:t xml:space="preserve"> </w:t>
      </w:r>
    </w:p>
    <w:bookmarkEnd w:id="78"/>
    <w:bookmarkStart w:id="80" w:name="X3c0ca5277cb27ba7098a1b20322a338d87eb9a8"/>
    <w:p>
      <w:pPr>
        <w:pStyle w:val="Bibliography"/>
      </w:pPr>
      <w:r>
        <w:t xml:space="preserve">28.</w:t>
      </w:r>
      <w:r>
        <w:t xml:space="preserve"> </w:t>
      </w:r>
      <w:r>
        <w:t xml:space="preserve">	</w:t>
      </w:r>
      <w:r>
        <w:t xml:space="preserve">Fink JN, Selim MH, Kumar S, Silver B, Linfante I, Caplan LR, Schlaug G.</w:t>
      </w:r>
      <w:r>
        <w:t xml:space="preserve"> </w:t>
      </w:r>
      <w:hyperlink r:id="rId79">
        <w:r>
          <w:rPr>
            <w:rStyle w:val="Hyperlink"/>
          </w:rPr>
          <w:t xml:space="preserve">Is the</w:t>
        </w:r>
        <w:r>
          <w:rPr>
            <w:rStyle w:val="Hyperlink"/>
          </w:rPr>
          <w:t xml:space="preserve"> </w:t>
        </w:r>
        <w:r>
          <w:rPr>
            <w:rStyle w:val="Hyperlink"/>
          </w:rPr>
          <w:t xml:space="preserve">Association</w:t>
        </w:r>
        <w:r>
          <w:rPr>
            <w:rStyle w:val="Hyperlink"/>
          </w:rPr>
          <w:t xml:space="preserve"> </w:t>
        </w:r>
        <w:r>
          <w:rPr>
            <w:rStyle w:val="Hyperlink"/>
          </w:rPr>
          <w:t xml:space="preserve">of</w:t>
        </w:r>
        <w:r>
          <w:rPr>
            <w:rStyle w:val="Hyperlink"/>
          </w:rPr>
          <w:t xml:space="preserve"> </w:t>
        </w:r>
        <w:r>
          <w:rPr>
            <w:rStyle w:val="Hyperlink"/>
          </w:rPr>
          <w:t xml:space="preserve">National Institutes</w:t>
        </w:r>
        <w:r>
          <w:rPr>
            <w:rStyle w:val="Hyperlink"/>
          </w:rPr>
          <w:t xml:space="preserve"> </w:t>
        </w:r>
        <w:r>
          <w:rPr>
            <w:rStyle w:val="Hyperlink"/>
          </w:rPr>
          <w:t xml:space="preserve">of</w:t>
        </w:r>
        <w:r>
          <w:rPr>
            <w:rStyle w:val="Hyperlink"/>
          </w:rPr>
          <w:t xml:space="preserve"> </w:t>
        </w:r>
        <w:r>
          <w:rPr>
            <w:rStyle w:val="Hyperlink"/>
          </w:rPr>
          <w:t xml:space="preserve">Health Stroke Scale Scores</w:t>
        </w:r>
        <w:r>
          <w:rPr>
            <w:rStyle w:val="Hyperlink"/>
          </w:rPr>
          <w:t xml:space="preserve"> </w:t>
        </w:r>
        <w:r>
          <w:rPr>
            <w:rStyle w:val="Hyperlink"/>
          </w:rPr>
          <w:t xml:space="preserve">and</w:t>
        </w:r>
        <w:r>
          <w:rPr>
            <w:rStyle w:val="Hyperlink"/>
          </w:rPr>
          <w:t xml:space="preserve"> </w:t>
        </w:r>
        <w:r>
          <w:rPr>
            <w:rStyle w:val="Hyperlink"/>
          </w:rPr>
          <w:t xml:space="preserve">Acute Magnetic Resonance Imaging Stroke Volume Equal</w:t>
        </w:r>
        <w:r>
          <w:rPr>
            <w:rStyle w:val="Hyperlink"/>
          </w:rPr>
          <w:t xml:space="preserve"> </w:t>
        </w:r>
        <w:r>
          <w:rPr>
            <w:rStyle w:val="Hyperlink"/>
          </w:rPr>
          <w:t xml:space="preserve">for</w:t>
        </w:r>
        <w:r>
          <w:rPr>
            <w:rStyle w:val="Hyperlink"/>
          </w:rPr>
          <w:t xml:space="preserve"> </w:t>
        </w:r>
        <w:r>
          <w:rPr>
            <w:rStyle w:val="Hyperlink"/>
          </w:rPr>
          <w:t xml:space="preserve">Patients With Right-</w:t>
        </w:r>
        <w:r>
          <w:rPr>
            <w:rStyle w:val="Hyperlink"/>
          </w:rPr>
          <w:t xml:space="preserve"> </w:t>
        </w:r>
        <w:r>
          <w:rPr>
            <w:rStyle w:val="Hyperlink"/>
          </w:rPr>
          <w:t xml:space="preserve">and</w:t>
        </w:r>
        <w:r>
          <w:rPr>
            <w:rStyle w:val="Hyperlink"/>
          </w:rPr>
          <w:t xml:space="preserve"> </w:t>
        </w:r>
        <w:r>
          <w:rPr>
            <w:rStyle w:val="Hyperlink"/>
          </w:rPr>
          <w:t xml:space="preserve">Left-Hemisphere Ischemic Stroke</w:t>
        </w:r>
        <w:r>
          <w:rPr>
            <w:rStyle w:val="Hyperlink"/>
          </w:rPr>
          <w:t xml:space="preserve">?</w:t>
        </w:r>
      </w:hyperlink>
      <w:r>
        <w:t xml:space="preserve"> </w:t>
      </w:r>
      <w:r>
        <w:rPr>
          <w:i/>
          <w:iCs/>
        </w:rPr>
        <w:t xml:space="preserve">Stroke</w:t>
      </w:r>
      <w:r>
        <w:t xml:space="preserve">. 2002;33:954–958.</w:t>
      </w:r>
      <w:r>
        <w:t xml:space="preserve"> </w:t>
      </w:r>
    </w:p>
    <w:bookmarkEnd w:id="80"/>
    <w:bookmarkEnd w:id="81"/>
    <w:p>
      <w:r>
        <w:br w:type="page"/>
      </w:r>
    </w:p>
    <w:bookmarkEnd w:id="82"/>
    <w:bookmarkStart w:id="86"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83"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83"/>
        </w:tc>
      </w:tr>
    </w:tbl>
    <w:p>
      <w:r>
        <w:br w:type="page"/>
      </w:r>
    </w:p>
    <w:tbl>
      <w:tblPr>
        <w:tblStyle w:val="Table"/>
        <w:tblW w:type="pct" w:w="5000"/>
        <w:tblLayout w:type="fixed"/>
        <w:tblLook w:firstRow="0" w:lastRow="0" w:firstColumn="0" w:lastColumn="0" w:noHBand="0" w:noVBand="0" w:val="0000"/>
      </w:tblPr>
      <w:tblGrid>
        <w:gridCol w:w="7920"/>
      </w:tblGrid>
      <w:tr>
        <w:tc>
          <w:tcPr/>
          <w:bookmarkStart w:id="84"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(0.99 - 2.81)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84"/>
        </w:tc>
      </w:tr>
    </w:tbl>
    <w:p>
      <w:r>
        <w:br w:type="page"/>
      </w:r>
    </w:p>
    <w:tbl>
      <w:tblPr>
        <w:tblStyle w:val="Table"/>
        <w:tblW w:type="pct" w:w="5000"/>
        <w:tblLayout w:type="fixed"/>
        <w:tblLook w:firstRow="0" w:lastRow="0" w:firstColumn="0" w:lastColumn="0" w:noHBand="0" w:noVBand="0" w:val="0000"/>
      </w:tblPr>
      <w:tblGrid>
        <w:gridCol w:w="7920"/>
      </w:tblGrid>
      <w:tr>
        <w:tc>
          <w:tcPr/>
          <w:bookmarkStart w:id="85"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85"/>
        </w:tc>
      </w:tr>
    </w:tbl>
    <w:p>
      <w:r>
        <w:br w:type="page"/>
      </w:r>
    </w:p>
    <w:bookmarkEnd w:id="86"/>
    <w:bookmarkStart w:id="9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0" w:name="fig-1"/>
          <w:p>
            <w:pPr>
              <w:pStyle w:val="Compact"/>
              <w:jc w:val="center"/>
            </w:pPr>
            <w:r>
              <w:drawing>
                <wp:inline>
                  <wp:extent cx="5943600" cy="5943600"/>
                  <wp:effectExtent b="0" l="0" r="0" t="0"/>
                  <wp:docPr descr="" title="" id="88" name="Picture"/>
                  <a:graphic>
                    <a:graphicData uri="http://schemas.openxmlformats.org/drawingml/2006/picture">
                      <pic:pic>
                        <pic:nvPicPr>
                          <pic:cNvPr descr="../figures/figure_sensitivity_neurosurgery_evac.pdf" id="89" name="Picture"/>
                          <pic:cNvPicPr>
                            <a:picLocks noChangeArrowheads="1" noChangeAspect="1"/>
                          </pic:cNvPicPr>
                        </pic:nvPicPr>
                        <pic:blipFill>
                          <a:blip r:embed="rId8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2"/>
          <w:p>
            <w:pPr>
              <w:pStyle w:val="Compact"/>
              <w:jc w:val="center"/>
            </w:pPr>
            <w:r>
              <w:drawing>
                <wp:inline>
                  <wp:extent cx="5943600" cy="3820885"/>
                  <wp:effectExtent b="0" l="0" r="0" t="0"/>
                  <wp:docPr descr="" title="" id="92" name="Picture"/>
                  <a:graphic>
                    <a:graphicData uri="http://schemas.openxmlformats.org/drawingml/2006/picture">
                      <pic:pic>
                        <pic:nvPicPr>
                          <pic:cNvPr descr="../figures/mrs/figure_mrs_main_neutral_adjusted.pdf" id="93" name="Picture"/>
                          <pic:cNvPicPr>
                            <a:picLocks noChangeArrowheads="1" noChangeAspect="1"/>
                          </pic:cNvPicPr>
                        </pic:nvPicPr>
                        <pic:blipFill>
                          <a:blip r:embed="rId9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modified Rankin Score at 90 days Stratified by ICH Laterality</w:t>
            </w:r>
          </w:p>
          <w:bookmarkEnd w:id="94"/>
        </w:tc>
      </w:tr>
    </w:tbl>
    <w:bookmarkEnd w:id="95"/>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df" /><Relationship Type="http://schemas.openxmlformats.org/officeDocument/2006/relationships/image" Id="rId91" Target="media/rId91.pdf" /><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9"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5"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7"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67" Target="https://doi.org/10.18637/jss.v045.i03"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9"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5"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7"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67" Target="https://doi.org/10.18637/jss.v045.i03"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Neurosurgical Intervention in Intracerebral Hemorrhage: A Post-Hoc Bayesian Analysis of ATACH-2 and ERICH</dc:title>
  <dc:creator/>
  <cp:keywords/>
  <dcterms:created xsi:type="dcterms:W3CDTF">2026-04-21T05:25:12Z</dcterms:created>
  <dcterms:modified xsi:type="dcterms:W3CDTF">2026-04-21T05:25:12Z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