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rFonts w:ascii="Liberation Serif" w:hAnsi="Liberation Serif"/>
        </w:rPr>
      </w:pPr>
      <w:r>
        <w:rPr>
          <w:rFonts w:ascii="Liberation Serif" w:hAnsi="Liberation Serif"/>
        </w:rPr>
        <w:t>Association of Hemispheric Laterality with Neurosurgical Intervention in Intracerebral Hemorrhage: A Post-Hoc Bayesian Analysis of ATACH-2 and ERICH</w:t>
      </w:r>
    </w:p>
    <w:p>
      <w:pPr>
        <w:pStyle w:val="Normal"/>
        <w:keepNext w:val="false"/>
        <w:keepLines w:val="false"/>
        <w:rPr>
          <w:rFonts w:ascii="Liberation Serif" w:hAnsi="Liberation Serif"/>
          <w:sz w:val="22"/>
          <w:szCs w:val="22"/>
        </w:rPr>
      </w:pPr>
      <w:r>
        <w:rPr>
          <w:rFonts w:ascii="Liberation Serif" w:hAnsi="Liberation Serif"/>
          <w:sz w:val="22"/>
          <w:szCs w:val="22"/>
        </w:rPr>
      </w:r>
    </w:p>
    <w:p>
      <w:pPr>
        <w:pStyle w:val="Normal"/>
        <w:rPr>
          <w:rFonts w:ascii="Liberation Serif" w:hAnsi="Liberation Serif"/>
        </w:rPr>
      </w:pPr>
      <w:r>
        <w:rPr>
          <w:rFonts w:ascii="Liberation Serif" w:hAnsi="Liberation Serif"/>
          <w:sz w:val="22"/>
          <w:szCs w:val="22"/>
        </w:rPr>
        <w:t>Authors: Nikhil M Patel, MD, MBA</w:t>
      </w:r>
      <w:r>
        <w:rPr>
          <w:rFonts w:ascii="Liberation Serif" w:hAnsi="Liberation Serif"/>
          <w:sz w:val="22"/>
          <w:szCs w:val="22"/>
          <w:vertAlign w:val="superscript"/>
        </w:rPr>
        <w:t>1 2</w:t>
      </w:r>
      <w:r>
        <w:rPr>
          <w:rFonts w:ascii="Liberation Serif" w:hAnsi="Liberation Serif"/>
          <w:sz w:val="22"/>
          <w:szCs w:val="22"/>
        </w:rPr>
        <w:t>; Rahul R Karamchandani, MD</w:t>
      </w:r>
      <w:r>
        <w:rPr>
          <w:rFonts w:ascii="Liberation Serif" w:hAnsi="Liberation Serif"/>
          <w:sz w:val="22"/>
          <w:szCs w:val="22"/>
          <w:vertAlign w:val="superscript"/>
        </w:rPr>
        <w:t>2</w:t>
      </w:r>
      <w:r>
        <w:rPr>
          <w:rFonts w:ascii="Liberation Serif" w:hAnsi="Liberation Serif"/>
          <w:sz w:val="22"/>
          <w:szCs w:val="22"/>
        </w:rPr>
        <w:t>; Matthew N Jaffa, DO; Liang Wang, PhD</w:t>
      </w:r>
      <w:r>
        <w:rPr>
          <w:rFonts w:ascii="Liberation Serif" w:hAnsi="Liberation Serif"/>
          <w:sz w:val="22"/>
          <w:szCs w:val="22"/>
          <w:vertAlign w:val="superscript"/>
        </w:rPr>
        <w:t>4</w:t>
      </w:r>
      <w:r>
        <w:rPr>
          <w:rFonts w:ascii="Liberation Serif" w:hAnsi="Liberation Serif"/>
          <w:sz w:val="22"/>
          <w:szCs w:val="22"/>
        </w:rPr>
        <w:t>; Hongmei Yang, PhD</w:t>
      </w:r>
      <w:r>
        <w:rPr>
          <w:rFonts w:ascii="Liberation Serif" w:hAnsi="Liberation Serif"/>
          <w:sz w:val="22"/>
          <w:szCs w:val="22"/>
          <w:vertAlign w:val="superscript"/>
        </w:rPr>
        <w:t>4</w:t>
      </w:r>
      <w:r>
        <w:rPr>
          <w:rFonts w:ascii="Liberation Serif" w:hAnsi="Liberation Serif"/>
          <w:sz w:val="22"/>
          <w:szCs w:val="22"/>
        </w:rPr>
        <w:t>; Rhonda Cadena, MD</w:t>
      </w:r>
      <w:r>
        <w:rPr>
          <w:rFonts w:ascii="Liberation Serif" w:hAnsi="Liberation Serif"/>
          <w:sz w:val="22"/>
          <w:szCs w:val="22"/>
          <w:vertAlign w:val="superscript"/>
        </w:rPr>
        <w:t>1</w:t>
      </w:r>
      <w:r>
        <w:rPr>
          <w:rFonts w:ascii="Liberation Serif" w:hAnsi="Liberation Serif"/>
          <w:sz w:val="22"/>
          <w:szCs w:val="22"/>
        </w:rPr>
        <w:t>; Christa Swisher, MD</w:t>
      </w:r>
      <w:r>
        <w:rPr>
          <w:rFonts w:ascii="Liberation Serif" w:hAnsi="Liberation Serif"/>
          <w:sz w:val="22"/>
          <w:szCs w:val="22"/>
          <w:vertAlign w:val="superscript"/>
        </w:rPr>
        <w:t>2</w:t>
      </w:r>
      <w:r>
        <w:rPr>
          <w:rFonts w:ascii="Liberation Serif" w:hAnsi="Liberation Serif"/>
          <w:sz w:val="22"/>
          <w:szCs w:val="22"/>
        </w:rPr>
        <w:t>; Joe D Bernard, MD</w:t>
      </w:r>
      <w:r>
        <w:rPr>
          <w:rFonts w:ascii="Liberation Serif" w:hAnsi="Liberation Serif"/>
          <w:sz w:val="22"/>
          <w:szCs w:val="22"/>
          <w:vertAlign w:val="superscript"/>
        </w:rPr>
        <w:t>5</w:t>
      </w:r>
      <w:r>
        <w:rPr>
          <w:rFonts w:ascii="Liberation Serif" w:hAnsi="Liberation Serif"/>
          <w:sz w:val="22"/>
          <w:szCs w:val="22"/>
        </w:rPr>
        <w:t>; Jonathan M Parish, MD</w:t>
      </w:r>
      <w:r>
        <w:rPr>
          <w:rFonts w:ascii="Liberation Serif" w:hAnsi="Liberation Serif"/>
          <w:sz w:val="22"/>
          <w:szCs w:val="22"/>
          <w:vertAlign w:val="superscript"/>
        </w:rPr>
        <w:t>5</w:t>
      </w:r>
      <w:r>
        <w:rPr>
          <w:rFonts w:ascii="Liberation Serif" w:hAnsi="Liberation Serif"/>
          <w:sz w:val="22"/>
          <w:szCs w:val="22"/>
        </w:rPr>
        <w:t>; William R Stetler, MD</w:t>
      </w:r>
      <w:r>
        <w:rPr>
          <w:rFonts w:ascii="Liberation Serif" w:hAnsi="Liberation Serif"/>
          <w:sz w:val="22"/>
          <w:szCs w:val="22"/>
          <w:vertAlign w:val="superscript"/>
        </w:rPr>
        <w:t>5</w:t>
      </w:r>
      <w:r>
        <w:rPr>
          <w:rFonts w:ascii="Liberation Serif" w:hAnsi="Liberation Serif"/>
          <w:sz w:val="22"/>
          <w:szCs w:val="22"/>
        </w:rPr>
        <w:t>; Rick Magun, MD</w:t>
      </w:r>
      <w:r>
        <w:rPr>
          <w:rFonts w:ascii="Liberation Serif" w:hAnsi="Liberation Serif"/>
          <w:sz w:val="22"/>
          <w:szCs w:val="22"/>
          <w:vertAlign w:val="superscript"/>
        </w:rPr>
        <w:t>6</w:t>
      </w:r>
      <w:r>
        <w:rPr>
          <w:rFonts w:ascii="Liberation Serif" w:hAnsi="Liberation Serif"/>
          <w:sz w:val="22"/>
          <w:szCs w:val="22"/>
        </w:rPr>
        <w:t>; Aaron Taylor, MD</w:t>
      </w:r>
      <w:r>
        <w:rPr>
          <w:rFonts w:ascii="Liberation Serif" w:hAnsi="Liberation Serif"/>
          <w:sz w:val="22"/>
          <w:szCs w:val="22"/>
          <w:vertAlign w:val="superscript"/>
        </w:rPr>
        <w:t>6</w:t>
      </w:r>
      <w:r>
        <w:rPr>
          <w:rFonts w:ascii="Liberation Serif" w:hAnsi="Liberation Serif"/>
          <w:sz w:val="22"/>
          <w:szCs w:val="22"/>
        </w:rPr>
        <w:t>; Daniel Woo, MD</w:t>
      </w:r>
      <w:r>
        <w:rPr>
          <w:rFonts w:ascii="Liberation Serif" w:hAnsi="Liberation Serif"/>
          <w:sz w:val="22"/>
          <w:szCs w:val="22"/>
          <w:vertAlign w:val="superscript"/>
        </w:rPr>
        <w:t>6</w:t>
      </w:r>
      <w:r>
        <w:rPr>
          <w:rFonts w:ascii="Liberation Serif" w:hAnsi="Liberation Serif"/>
          <w:sz w:val="22"/>
          <w:szCs w:val="22"/>
        </w:rPr>
        <w:t>; Adnan Qureshi, MD</w:t>
      </w:r>
      <w:r>
        <w:rPr>
          <w:rFonts w:ascii="Liberation Serif" w:hAnsi="Liberation Serif"/>
          <w:sz w:val="22"/>
          <w:szCs w:val="22"/>
          <w:vertAlign w:val="superscript"/>
        </w:rPr>
        <w:t>7</w:t>
      </w:r>
      <w:r>
        <w:rPr>
          <w:rFonts w:ascii="Liberation Serif" w:hAnsi="Liberation Serif"/>
          <w:sz w:val="22"/>
          <w:szCs w:val="22"/>
        </w:rPr>
        <w:t>; Andrew W Asimos, MD</w:t>
      </w:r>
      <w:r>
        <w:rPr>
          <w:rFonts w:ascii="Liberation Serif" w:hAnsi="Liberation Serif"/>
          <w:sz w:val="22"/>
          <w:szCs w:val="22"/>
          <w:vertAlign w:val="superscript"/>
        </w:rPr>
        <w:t>8</w:t>
      </w:r>
      <w:r>
        <w:rPr>
          <w:rFonts w:ascii="Liberation Serif" w:hAnsi="Liberation Serif"/>
          <w:sz w:val="22"/>
          <w:szCs w:val="22"/>
        </w:rPr>
        <w:t>; Nicholas A Morris, MD</w:t>
      </w:r>
      <w:r>
        <w:rPr>
          <w:rFonts w:ascii="Liberation Serif" w:hAnsi="Liberation Serif"/>
          <w:sz w:val="22"/>
          <w:szCs w:val="22"/>
          <w:vertAlign w:val="superscript"/>
        </w:rPr>
        <w:t>9</w:t>
      </w:r>
    </w:p>
    <w:p>
      <w:pPr>
        <w:pStyle w:val="Normal"/>
        <w:keepNext w:val="false"/>
        <w:keepLines w:val="false"/>
        <w:rPr>
          <w:rFonts w:ascii="Liberation Serif" w:hAnsi="Liberation Serif"/>
          <w:sz w:val="22"/>
          <w:szCs w:val="22"/>
        </w:rPr>
      </w:pPr>
      <w:r>
        <w:rPr>
          <w:rFonts w:ascii="Liberation Serif" w:hAnsi="Liberation Serif"/>
          <w:sz w:val="22"/>
          <w:szCs w:val="22"/>
        </w:rPr>
      </w:r>
    </w:p>
    <w:p>
      <w:pPr>
        <w:pStyle w:val="Normal"/>
        <w:keepNext w:val="false"/>
        <w:keepLines w:val="false"/>
        <w:rPr>
          <w:rFonts w:ascii="Liberation Serif" w:hAnsi="Liberation Serif"/>
        </w:rPr>
      </w:pPr>
      <w:r>
        <w:rPr>
          <w:rFonts w:ascii="Liberation Serif" w:hAnsi="Liberation Serif"/>
          <w:b/>
          <w:bCs/>
          <w:sz w:val="22"/>
          <w:szCs w:val="22"/>
        </w:rPr>
        <w:t>Affiliations</w:t>
      </w:r>
      <w:r>
        <w:rPr>
          <w:rFonts w:ascii="Liberation Serif" w:hAnsi="Liberation Serif"/>
          <w:sz w:val="22"/>
          <w:szCs w:val="22"/>
        </w:rPr>
        <w:t>:</w:t>
      </w:r>
    </w:p>
    <w:p>
      <w:pPr>
        <w:pStyle w:val="Normal"/>
        <w:keepNext w:val="false"/>
        <w:keepLines w:val="false"/>
        <w:rPr>
          <w:rFonts w:ascii="Liberation Serif" w:hAnsi="Liberation Serif"/>
        </w:rPr>
      </w:pPr>
      <w:r>
        <w:rPr>
          <w:rFonts w:ascii="Liberation Serif" w:hAnsi="Liberation Serif"/>
          <w:sz w:val="22"/>
          <w:szCs w:val="22"/>
          <w:vertAlign w:val="superscript"/>
        </w:rPr>
        <w:t>1</w:t>
      </w:r>
      <w:r>
        <w:rPr>
          <w:rFonts w:ascii="Liberation Serif" w:hAnsi="Liberation Serif"/>
          <w:sz w:val="22"/>
          <w:szCs w:val="22"/>
        </w:rPr>
        <w:t xml:space="preserve"> Department of Internal Medicine, Wake Forest School of Medicine, Advocate Health, Charlotte, NC, USA.</w:t>
      </w:r>
    </w:p>
    <w:p>
      <w:pPr>
        <w:pStyle w:val="Normal"/>
        <w:keepNext w:val="false"/>
        <w:keepLines w:val="false"/>
        <w:rPr>
          <w:rFonts w:ascii="Liberation Serif" w:hAnsi="Liberation Serif"/>
        </w:rPr>
      </w:pPr>
      <w:r>
        <w:rPr>
          <w:rFonts w:ascii="Liberation Serif" w:hAnsi="Liberation Serif"/>
          <w:sz w:val="22"/>
          <w:szCs w:val="22"/>
          <w:vertAlign w:val="superscript"/>
        </w:rPr>
        <w:t>2</w:t>
      </w:r>
      <w:r>
        <w:rPr>
          <w:rFonts w:ascii="Liberation Serif" w:hAnsi="Liberation Serif"/>
          <w:sz w:val="22"/>
          <w:szCs w:val="22"/>
        </w:rPr>
        <w:t xml:space="preserve"> Department of Neurology, Neurosciences Institute, Wake Forest School of Medicine, Advocate Health, Charlotte, NC, USA.</w:t>
      </w:r>
    </w:p>
    <w:p>
      <w:pPr>
        <w:pStyle w:val="Normal"/>
        <w:keepNext w:val="false"/>
        <w:keepLines w:val="false"/>
        <w:rPr>
          <w:rFonts w:ascii="Liberation Serif" w:hAnsi="Liberation Serif"/>
        </w:rPr>
      </w:pPr>
      <w:r>
        <w:rPr>
          <w:rFonts w:ascii="Liberation Serif" w:hAnsi="Liberation Serif"/>
          <w:sz w:val="22"/>
          <w:szCs w:val="22"/>
          <w:vertAlign w:val="superscript"/>
        </w:rPr>
        <w:t>3</w:t>
      </w:r>
      <w:r>
        <w:rPr>
          <w:rFonts w:ascii="Liberation Serif" w:hAnsi="Liberation Serif"/>
          <w:sz w:val="22"/>
          <w:szCs w:val="22"/>
        </w:rPr>
        <w:t xml:space="preserve"> Division of Neurocritical Care, Department of Neurology, Ayer Neuroscience Institute, Hartford Hospital, Hartford, CT, USA.</w:t>
      </w:r>
    </w:p>
    <w:p>
      <w:pPr>
        <w:pStyle w:val="Normal"/>
        <w:keepNext w:val="false"/>
        <w:keepLines w:val="false"/>
        <w:rPr>
          <w:rFonts w:ascii="Liberation Serif" w:hAnsi="Liberation Serif"/>
        </w:rPr>
      </w:pPr>
      <w:r>
        <w:rPr>
          <w:rFonts w:ascii="Liberation Serif" w:hAnsi="Liberation Serif"/>
          <w:sz w:val="22"/>
          <w:szCs w:val="22"/>
          <w:vertAlign w:val="superscript"/>
        </w:rPr>
        <w:t>4</w:t>
      </w:r>
      <w:r>
        <w:rPr>
          <w:rFonts w:ascii="Liberation Serif" w:hAnsi="Liberation Serif"/>
          <w:sz w:val="22"/>
          <w:szCs w:val="22"/>
        </w:rPr>
        <w:t xml:space="preserve"> Clinical Quality Analytics, Advocate Health, Charlotte, NC 28203, USA.</w:t>
      </w:r>
    </w:p>
    <w:p>
      <w:pPr>
        <w:pStyle w:val="Normal"/>
        <w:keepNext w:val="false"/>
        <w:keepLines w:val="false"/>
        <w:rPr>
          <w:rFonts w:ascii="Liberation Serif" w:hAnsi="Liberation Serif"/>
        </w:rPr>
      </w:pPr>
      <w:r>
        <w:rPr>
          <w:rFonts w:ascii="Liberation Serif" w:hAnsi="Liberation Serif"/>
          <w:sz w:val="22"/>
          <w:szCs w:val="22"/>
          <w:vertAlign w:val="superscript"/>
        </w:rPr>
        <w:t>5</w:t>
      </w:r>
      <w:r>
        <w:rPr>
          <w:rFonts w:ascii="Liberation Serif" w:hAnsi="Liberation Serif"/>
          <w:position w:val="0"/>
          <w:sz w:val="22"/>
          <w:szCs w:val="22"/>
          <w:vertAlign w:val="baseline"/>
        </w:rPr>
        <w:t xml:space="preserve"> Carolina Neurosurgery &amp; Spine Associates, Department of Neurosurgery, Neurosciences Institute, Wake Forest University School of Medicine, Advocate Health, Charlotte, NC</w:t>
      </w:r>
      <w:r>
        <w:rPr>
          <w:rFonts w:ascii="Liberation Serif" w:hAnsi="Liberation Serif"/>
          <w:sz w:val="22"/>
          <w:szCs w:val="22"/>
        </w:rPr>
        <w:t>, USA.</w:t>
      </w:r>
    </w:p>
    <w:p>
      <w:pPr>
        <w:pStyle w:val="Normal"/>
        <w:keepNext w:val="false"/>
        <w:keepLines w:val="false"/>
        <w:rPr>
          <w:rFonts w:ascii="Liberation Serif" w:hAnsi="Liberation Serif"/>
        </w:rPr>
      </w:pPr>
      <w:r>
        <w:rPr>
          <w:rFonts w:ascii="Liberation Serif" w:hAnsi="Liberation Serif"/>
          <w:sz w:val="22"/>
          <w:szCs w:val="22"/>
          <w:vertAlign w:val="superscript"/>
        </w:rPr>
        <w:t>6</w:t>
      </w:r>
      <w:r>
        <w:rPr>
          <w:rFonts w:ascii="Liberation Serif" w:hAnsi="Liberation Serif"/>
          <w:sz w:val="22"/>
          <w:szCs w:val="22"/>
        </w:rPr>
        <w:t xml:space="preserve"> Department of Neurology, University at Buffalo Jacobs School of Medicine &amp; Biomedical Sciences, Buffalo, NY, USA.</w:t>
      </w:r>
    </w:p>
    <w:p>
      <w:pPr>
        <w:pStyle w:val="Normal"/>
        <w:keepNext w:val="false"/>
        <w:keepLines w:val="false"/>
        <w:rPr>
          <w:rFonts w:ascii="Liberation Serif" w:hAnsi="Liberation Serif"/>
        </w:rPr>
      </w:pPr>
      <w:r>
        <w:rPr>
          <w:rFonts w:ascii="Liberation Serif" w:hAnsi="Liberation Serif"/>
          <w:sz w:val="22"/>
          <w:szCs w:val="22"/>
          <w:vertAlign w:val="superscript"/>
        </w:rPr>
        <w:t>7</w:t>
      </w:r>
      <w:r>
        <w:rPr>
          <w:rFonts w:ascii="Liberation Serif" w:hAnsi="Liberation Serif"/>
          <w:sz w:val="22"/>
          <w:szCs w:val="22"/>
        </w:rPr>
        <w:t xml:space="preserve"> Zeenat Qureshi Stroke Institute and Department of Neurology, University of Missouri-Columbia, Columbia, MO, USA.</w:t>
      </w:r>
    </w:p>
    <w:p>
      <w:pPr>
        <w:pStyle w:val="Normal"/>
        <w:rPr>
          <w:rFonts w:ascii="Liberation Serif" w:hAnsi="Liberation Serif"/>
        </w:rPr>
      </w:pPr>
      <w:r>
        <w:rPr>
          <w:rFonts w:ascii="Liberation Serif" w:hAnsi="Liberation Serif"/>
          <w:sz w:val="22"/>
          <w:szCs w:val="22"/>
          <w:vertAlign w:val="superscript"/>
          <w:lang w:val="en-US"/>
        </w:rPr>
        <w:t>8</w:t>
      </w:r>
      <w:r>
        <w:rPr>
          <w:rFonts w:ascii="Liberation Serif" w:hAnsi="Liberation Serif"/>
          <w:sz w:val="22"/>
          <w:szCs w:val="22"/>
          <w:lang w:val="en-US"/>
        </w:rPr>
        <w:t xml:space="preserve"> Department of Emergency Medicine, Neurosciences Institute, Advocate Health, Charlotte, NC, USA.</w:t>
      </w:r>
    </w:p>
    <w:p>
      <w:pPr>
        <w:pStyle w:val="Normal"/>
        <w:keepNext w:val="false"/>
        <w:keepLines w:val="false"/>
        <w:rPr>
          <w:rFonts w:ascii="Liberation Serif" w:hAnsi="Liberation Serif"/>
        </w:rPr>
      </w:pPr>
      <w:r>
        <w:rPr>
          <w:rFonts w:ascii="Liberation Serif" w:hAnsi="Liberation Serif"/>
          <w:sz w:val="22"/>
          <w:szCs w:val="22"/>
          <w:vertAlign w:val="superscript"/>
        </w:rPr>
        <w:t>9</w:t>
      </w:r>
      <w:r>
        <w:rPr>
          <w:rFonts w:ascii="Liberation Serif" w:hAnsi="Liberation Serif"/>
          <w:sz w:val="22"/>
          <w:szCs w:val="22"/>
        </w:rPr>
        <w:t xml:space="preserve"> Department of Neurology, Program in Trauma, University of Maryland School of Medicine, Baltimore, MD, USA.</w:t>
      </w:r>
    </w:p>
    <w:p>
      <w:pPr>
        <w:pStyle w:val="Normal"/>
        <w:keepNext w:val="false"/>
        <w:keepLines w:val="false"/>
        <w:rPr>
          <w:rFonts w:ascii="Liberation Serif" w:hAnsi="Liberation Serif"/>
          <w:sz w:val="22"/>
          <w:szCs w:val="22"/>
        </w:rPr>
      </w:pPr>
      <w:r>
        <w:rPr>
          <w:rFonts w:ascii="Liberation Serif" w:hAnsi="Liberation Serif"/>
          <w:sz w:val="22"/>
          <w:szCs w:val="22"/>
        </w:rPr>
      </w:r>
    </w:p>
    <w:p>
      <w:pPr>
        <w:pStyle w:val="Normal"/>
        <w:keepNext w:val="false"/>
        <w:keepLines w:val="false"/>
        <w:rPr>
          <w:rFonts w:ascii="Liberation Serif" w:hAnsi="Liberation Serif"/>
        </w:rPr>
      </w:pPr>
      <w:r>
        <w:rPr>
          <w:rFonts w:ascii="Liberation Serif" w:hAnsi="Liberation Serif"/>
          <w:b/>
          <w:bCs/>
          <w:sz w:val="22"/>
          <w:szCs w:val="22"/>
        </w:rPr>
        <w:t>Corresponding Author</w:t>
      </w:r>
      <w:r>
        <w:rPr>
          <w:rFonts w:ascii="Liberation Serif" w:hAnsi="Liberation Serif"/>
          <w:sz w:val="22"/>
          <w:szCs w:val="22"/>
        </w:rPr>
        <w:t xml:space="preserve">: </w:t>
      </w:r>
    </w:p>
    <w:p>
      <w:pPr>
        <w:pStyle w:val="Normal"/>
        <w:keepNext w:val="false"/>
        <w:keepLines w:val="false"/>
        <w:rPr>
          <w:rFonts w:ascii="Liberation Serif" w:hAnsi="Liberation Serif"/>
        </w:rPr>
      </w:pPr>
      <w:r>
        <w:rPr>
          <w:rFonts w:ascii="Liberation Serif" w:hAnsi="Liberation Serif"/>
          <w:sz w:val="22"/>
          <w:szCs w:val="22"/>
        </w:rPr>
        <w:t>Nikhil M Patel, MD, MBA</w:t>
      </w:r>
    </w:p>
    <w:p>
      <w:pPr>
        <w:pStyle w:val="Normal"/>
        <w:keepNext w:val="false"/>
        <w:keepLines w:val="false"/>
        <w:rPr>
          <w:rFonts w:ascii="Liberation Serif" w:hAnsi="Liberation Serif"/>
        </w:rPr>
      </w:pPr>
      <w:r>
        <w:rPr>
          <w:rFonts w:ascii="Liberation Serif" w:hAnsi="Liberation Serif"/>
          <w:sz w:val="22"/>
          <w:szCs w:val="22"/>
        </w:rPr>
        <w:t>Department of Internal Medicine</w:t>
      </w:r>
    </w:p>
    <w:p>
      <w:pPr>
        <w:pStyle w:val="Normal"/>
        <w:keepNext w:val="false"/>
        <w:keepLines w:val="false"/>
        <w:rPr>
          <w:rFonts w:ascii="Liberation Serif" w:hAnsi="Liberation Serif"/>
        </w:rPr>
      </w:pPr>
      <w:r>
        <w:rPr>
          <w:rFonts w:ascii="Liberation Serif" w:hAnsi="Liberation Serif"/>
          <w:sz w:val="22"/>
          <w:szCs w:val="22"/>
        </w:rPr>
        <w:t>Department of Neurology</w:t>
      </w:r>
    </w:p>
    <w:p>
      <w:pPr>
        <w:pStyle w:val="Normal"/>
        <w:keepNext w:val="false"/>
        <w:keepLines w:val="false"/>
        <w:rPr>
          <w:rFonts w:ascii="Liberation Serif" w:hAnsi="Liberation Serif"/>
        </w:rPr>
      </w:pPr>
      <w:r>
        <w:rPr>
          <w:rFonts w:ascii="Liberation Serif" w:hAnsi="Liberation Serif"/>
          <w:sz w:val="22"/>
          <w:szCs w:val="22"/>
        </w:rPr>
        <w:t>Wake Forest School of Medicine</w:t>
      </w:r>
    </w:p>
    <w:p>
      <w:pPr>
        <w:pStyle w:val="Normal"/>
        <w:keepNext w:val="false"/>
        <w:keepLines w:val="false"/>
        <w:rPr>
          <w:rFonts w:ascii="Liberation Serif" w:hAnsi="Liberation Serif"/>
        </w:rPr>
      </w:pPr>
      <w:r>
        <w:rPr>
          <w:rFonts w:ascii="Liberation Serif" w:hAnsi="Liberation Serif"/>
          <w:sz w:val="22"/>
          <w:szCs w:val="22"/>
        </w:rPr>
        <w:t>1000 Blythe Blvd.</w:t>
      </w:r>
    </w:p>
    <w:p>
      <w:pPr>
        <w:pStyle w:val="Normal"/>
        <w:keepNext w:val="false"/>
        <w:keepLines w:val="false"/>
        <w:rPr>
          <w:rFonts w:ascii="Liberation Serif" w:hAnsi="Liberation Serif"/>
        </w:rPr>
      </w:pPr>
      <w:r>
        <w:rPr>
          <w:rFonts w:ascii="Liberation Serif" w:hAnsi="Liberation Serif"/>
          <w:sz w:val="22"/>
          <w:szCs w:val="22"/>
        </w:rPr>
        <w:t>Charlotte, NC 28203</w:t>
      </w:r>
    </w:p>
    <w:p>
      <w:pPr>
        <w:pStyle w:val="Normal"/>
        <w:keepNext w:val="false"/>
        <w:keepLines w:val="false"/>
        <w:rPr/>
      </w:pPr>
      <w:hyperlink r:id="rId2">
        <w:r>
          <w:rPr>
            <w:rStyle w:val="Hyperlink"/>
            <w:rFonts w:ascii="Liberation Serif" w:hAnsi="Liberation Serif"/>
            <w:sz w:val="22"/>
            <w:szCs w:val="22"/>
          </w:rPr>
          <w:t>nikhil.m.patel@wfusm.edu</w:t>
        </w:r>
      </w:hyperlink>
    </w:p>
    <w:p>
      <w:pPr>
        <w:pStyle w:val="Normal"/>
        <w:keepNext w:val="false"/>
        <w:keepLines w:val="false"/>
        <w:rPr>
          <w:rFonts w:ascii="Liberation Serif" w:hAnsi="Liberation Serif"/>
          <w:sz w:val="22"/>
          <w:szCs w:val="22"/>
        </w:rPr>
      </w:pPr>
      <w:r>
        <w:rPr>
          <w:rFonts w:ascii="Liberation Serif" w:hAnsi="Liberation Serif"/>
          <w:sz w:val="22"/>
          <w:szCs w:val="22"/>
        </w:rPr>
      </w:r>
    </w:p>
    <w:p>
      <w:pPr>
        <w:pStyle w:val="Normal"/>
        <w:keepNext w:val="false"/>
        <w:keepLines w:val="false"/>
        <w:rPr>
          <w:rFonts w:ascii="Liberation Serif" w:hAnsi="Liberation Serif"/>
        </w:rPr>
      </w:pPr>
      <w:r>
        <w:rPr>
          <w:rFonts w:ascii="Liberation Serif" w:hAnsi="Liberation Serif"/>
          <w:b/>
          <w:bCs/>
          <w:sz w:val="22"/>
          <w:szCs w:val="22"/>
        </w:rPr>
        <w:t>Word Count</w:t>
      </w:r>
      <w:r>
        <w:rPr>
          <w:rFonts w:ascii="Liberation Serif" w:hAnsi="Liberation Serif"/>
          <w:sz w:val="22"/>
          <w:szCs w:val="22"/>
        </w:rPr>
        <w:t xml:space="preserve"> (excluding title, abstract, acknowledgment, references, tables, and figure legends): </w:t>
      </w:r>
      <w:r>
        <w:rPr>
          <w:rFonts w:ascii="Liberation Serif" w:hAnsi="Liberation Serif"/>
          <w:sz w:val="22"/>
          <w:szCs w:val="22"/>
        </w:rPr>
        <w:t>3463</w:t>
      </w:r>
    </w:p>
    <w:p>
      <w:pPr>
        <w:pStyle w:val="Normal"/>
        <w:keepNext w:val="false"/>
        <w:keepLines w:val="false"/>
        <w:rPr>
          <w:rFonts w:ascii="Liberation Serif" w:hAnsi="Liberation Serif"/>
          <w:sz w:val="22"/>
          <w:szCs w:val="22"/>
        </w:rPr>
      </w:pPr>
      <w:r>
        <w:rPr>
          <w:rFonts w:ascii="Liberation Serif" w:hAnsi="Liberation Serif"/>
          <w:sz w:val="22"/>
          <w:szCs w:val="22"/>
        </w:rPr>
      </w:r>
    </w:p>
    <w:p>
      <w:pPr>
        <w:pStyle w:val="Normal"/>
        <w:keepNext w:val="false"/>
        <w:keepLines w:val="false"/>
        <w:rPr>
          <w:rFonts w:ascii="Liberation Serif" w:hAnsi="Liberation Serif"/>
        </w:rPr>
      </w:pPr>
      <w:r>
        <w:rPr>
          <w:rFonts w:ascii="Liberation Serif" w:hAnsi="Liberation Serif"/>
          <w:b/>
          <w:bCs/>
          <w:sz w:val="22"/>
          <w:szCs w:val="22"/>
        </w:rPr>
        <w:t>Author contributions</w:t>
      </w:r>
      <w:r>
        <w:rPr>
          <w:rFonts w:ascii="Liberation Serif" w:hAnsi="Liberation Serif"/>
          <w:sz w:val="22"/>
          <w:szCs w:val="22"/>
        </w:rPr>
        <w:t xml:space="preserve">: </w:t>
      </w:r>
    </w:p>
    <w:p>
      <w:pPr>
        <w:pStyle w:val="Normal"/>
        <w:keepNext w:val="false"/>
        <w:keepLines w:val="false"/>
        <w:rPr>
          <w:rFonts w:ascii="Liberation Serif" w:hAnsi="Liberation Serif"/>
        </w:rPr>
      </w:pPr>
      <w:r>
        <w:rPr>
          <w:rFonts w:ascii="Liberation Serif" w:hAnsi="Liberation Serif"/>
          <w:sz w:val="22"/>
          <w:szCs w:val="22"/>
        </w:rPr>
        <w:t>Nikhil Patel had full access to all the data in the study and takes responsibility for the integrity of the data and the accuracy of the data analysis.</w:t>
      </w:r>
    </w:p>
    <w:p>
      <w:pPr>
        <w:pStyle w:val="Normal"/>
        <w:keepNext w:val="false"/>
        <w:keepLines w:val="false"/>
        <w:rPr>
          <w:rFonts w:ascii="Liberation Serif" w:hAnsi="Liberation Serif"/>
        </w:rPr>
      </w:pPr>
      <w:r>
        <w:rPr>
          <w:rFonts w:ascii="Liberation Serif" w:hAnsi="Liberation Serif"/>
          <w:i/>
          <w:iCs/>
          <w:sz w:val="22"/>
          <w:szCs w:val="22"/>
        </w:rPr>
        <w:t>Concept and design:</w:t>
      </w:r>
      <w:r>
        <w:rPr>
          <w:rFonts w:ascii="Liberation Serif" w:hAnsi="Liberation Serif"/>
          <w:b/>
          <w:bCs/>
          <w:i/>
          <w:iCs/>
          <w:sz w:val="22"/>
          <w:szCs w:val="22"/>
        </w:rPr>
        <w:t xml:space="preserve"> </w:t>
      </w:r>
      <w:r>
        <w:rPr>
          <w:rFonts w:ascii="Liberation Serif" w:hAnsi="Liberation Serif"/>
          <w:b w:val="false"/>
          <w:bCs w:val="false"/>
          <w:i w:val="false"/>
          <w:iCs w:val="false"/>
          <w:sz w:val="22"/>
          <w:szCs w:val="22"/>
        </w:rPr>
        <w:t>Patel, Jaffa, Karamchandani, Morris</w:t>
      </w:r>
    </w:p>
    <w:p>
      <w:pPr>
        <w:pStyle w:val="Normal"/>
        <w:keepNext w:val="false"/>
        <w:keepLines w:val="false"/>
        <w:rPr>
          <w:rFonts w:ascii="Liberation Serif" w:hAnsi="Liberation Serif"/>
        </w:rPr>
      </w:pPr>
      <w:r>
        <w:rPr>
          <w:rFonts w:ascii="Liberation Serif" w:hAnsi="Liberation Serif"/>
          <w:b w:val="false"/>
          <w:bCs w:val="false"/>
          <w:i/>
          <w:iCs/>
          <w:sz w:val="22"/>
          <w:szCs w:val="22"/>
        </w:rPr>
        <w:t>Acquisition, analysis, or interpretation of data</w:t>
      </w:r>
      <w:r>
        <w:rPr>
          <w:rFonts w:ascii="Liberation Serif" w:hAnsi="Liberation Serif"/>
          <w:b w:val="false"/>
          <w:bCs w:val="false"/>
          <w:i w:val="false"/>
          <w:iCs w:val="false"/>
          <w:sz w:val="22"/>
          <w:szCs w:val="22"/>
        </w:rPr>
        <w:t>: Patel, Wang, Yang, Woo, Qureshi</w:t>
      </w:r>
    </w:p>
    <w:p>
      <w:pPr>
        <w:pStyle w:val="Normal"/>
        <w:keepNext w:val="false"/>
        <w:keepLines w:val="false"/>
        <w:rPr>
          <w:rFonts w:ascii="Liberation Serif" w:hAnsi="Liberation Serif"/>
        </w:rPr>
      </w:pPr>
      <w:r>
        <w:rPr>
          <w:rFonts w:ascii="Liberation Serif" w:hAnsi="Liberation Serif"/>
          <w:b w:val="false"/>
          <w:bCs w:val="false"/>
          <w:i/>
          <w:iCs/>
          <w:sz w:val="22"/>
          <w:szCs w:val="22"/>
        </w:rPr>
        <w:t>Drafting of manuscript</w:t>
      </w:r>
      <w:r>
        <w:rPr>
          <w:rFonts w:ascii="Liberation Serif" w:hAnsi="Liberation Serif"/>
          <w:b w:val="false"/>
          <w:bCs w:val="false"/>
          <w:i w:val="false"/>
          <w:iCs w:val="false"/>
          <w:sz w:val="22"/>
          <w:szCs w:val="22"/>
        </w:rPr>
        <w:t>: Patel, Jaffa, Karamchandani</w:t>
      </w:r>
    </w:p>
    <w:p>
      <w:pPr>
        <w:pStyle w:val="Normal"/>
        <w:keepNext w:val="false"/>
        <w:keepLines w:val="false"/>
        <w:rPr>
          <w:rFonts w:ascii="Liberation Serif" w:hAnsi="Liberation Serif"/>
        </w:rPr>
      </w:pPr>
      <w:r>
        <w:rPr>
          <w:rFonts w:ascii="Liberation Serif" w:hAnsi="Liberation Serif"/>
          <w:b w:val="false"/>
          <w:bCs w:val="false"/>
          <w:i/>
          <w:iCs/>
          <w:sz w:val="22"/>
          <w:szCs w:val="22"/>
        </w:rPr>
        <w:t>Critical review of the manuscript for important intellectual content</w:t>
      </w:r>
      <w:r>
        <w:rPr>
          <w:rFonts w:ascii="Liberation Serif" w:hAnsi="Liberation Serif"/>
          <w:b w:val="false"/>
          <w:bCs w:val="false"/>
          <w:i w:val="false"/>
          <w:iCs w:val="false"/>
          <w:sz w:val="22"/>
          <w:szCs w:val="22"/>
        </w:rPr>
        <w:t>: Patel, Karamchandani, Jaffa, Cadena, Swisher, Bernard, Parish, Stetler, Magun, Taylor, Woo, Qureshi, Asimos, Morris</w:t>
      </w:r>
    </w:p>
    <w:p>
      <w:pPr>
        <w:pStyle w:val="Normal"/>
        <w:keepNext w:val="false"/>
        <w:keepLines w:val="false"/>
        <w:rPr>
          <w:rFonts w:ascii="Liberation Serif" w:hAnsi="Liberation Serif"/>
        </w:rPr>
      </w:pPr>
      <w:r>
        <w:rPr>
          <w:rFonts w:ascii="Liberation Serif" w:hAnsi="Liberation Serif"/>
          <w:b w:val="false"/>
          <w:bCs w:val="false"/>
          <w:i/>
          <w:iCs/>
          <w:sz w:val="22"/>
          <w:szCs w:val="22"/>
        </w:rPr>
        <w:t>Statistical analysis</w:t>
      </w:r>
      <w:r>
        <w:rPr>
          <w:rFonts w:ascii="Liberation Serif" w:hAnsi="Liberation Serif"/>
          <w:b w:val="false"/>
          <w:bCs w:val="false"/>
          <w:i w:val="false"/>
          <w:iCs w:val="false"/>
          <w:sz w:val="22"/>
          <w:szCs w:val="22"/>
        </w:rPr>
        <w:t>: Patel, Wang, Yang</w:t>
      </w:r>
    </w:p>
    <w:p>
      <w:pPr>
        <w:pStyle w:val="Normal"/>
        <w:keepNext w:val="false"/>
        <w:keepLines w:val="false"/>
        <w:rPr>
          <w:rFonts w:ascii="Liberation Serif" w:hAnsi="Liberation Serif"/>
        </w:rPr>
      </w:pPr>
      <w:r>
        <w:rPr>
          <w:rFonts w:ascii="Liberation Serif" w:hAnsi="Liberation Serif"/>
          <w:b w:val="false"/>
          <w:bCs w:val="false"/>
          <w:i/>
          <w:iCs/>
          <w:sz w:val="22"/>
          <w:szCs w:val="22"/>
        </w:rPr>
        <w:t>Supervision</w:t>
      </w:r>
      <w:r>
        <w:rPr>
          <w:rFonts w:ascii="Liberation Serif" w:hAnsi="Liberation Serif"/>
          <w:b w:val="false"/>
          <w:bCs w:val="false"/>
          <w:i w:val="false"/>
          <w:iCs w:val="false"/>
          <w:sz w:val="22"/>
          <w:szCs w:val="22"/>
        </w:rPr>
        <w:t>: Woo, Qureshi, Asimos, Morris</w:t>
      </w:r>
    </w:p>
    <w:p>
      <w:pPr>
        <w:pStyle w:val="Normal"/>
        <w:rPr>
          <w:rFonts w:ascii="Liberation Serif" w:hAnsi="Liberation Serif"/>
          <w:b w:val="false"/>
          <w:bCs w:val="false"/>
          <w:i w:val="false"/>
          <w:iCs w:val="false"/>
          <w:sz w:val="22"/>
          <w:szCs w:val="22"/>
        </w:rPr>
      </w:pPr>
      <w:r>
        <w:rPr>
          <w:rFonts w:ascii="Liberation Serif" w:hAnsi="Liberation Serif"/>
          <w:b w:val="false"/>
          <w:bCs w:val="false"/>
          <w:i w:val="false"/>
          <w:iCs w:val="false"/>
          <w:sz w:val="22"/>
          <w:szCs w:val="22"/>
        </w:rPr>
      </w:r>
    </w:p>
    <w:p>
      <w:pPr>
        <w:pStyle w:val="Heading2"/>
        <w:rPr>
          <w:rFonts w:ascii="Liberation Serif" w:hAnsi="Liberation Serif"/>
        </w:rPr>
      </w:pPr>
      <w:r>
        <w:rPr>
          <w:rFonts w:ascii="Liberation Serif" w:hAnsi="Liberation Serif"/>
        </w:rPr>
      </w:r>
      <w:r>
        <w:br w:type="page"/>
      </w:r>
    </w:p>
    <w:p>
      <w:pPr>
        <w:pStyle w:val="Heading2"/>
        <w:rPr>
          <w:rFonts w:ascii="Liberation Serif" w:hAnsi="Liberation Serif"/>
        </w:rPr>
      </w:pPr>
      <w:bookmarkStart w:id="0" w:name="abstract"/>
      <w:r>
        <w:rPr>
          <w:rFonts w:ascii="Liberation Serif" w:hAnsi="Liberation Serif"/>
        </w:rPr>
        <w:t>Abstract</w:t>
      </w:r>
    </w:p>
    <w:p>
      <w:pPr>
        <w:pStyle w:val="FirstParagraph"/>
        <w:rPr>
          <w:rFonts w:ascii="Liberation Serif" w:hAnsi="Liberation Serif"/>
        </w:rPr>
      </w:pPr>
      <w:r>
        <w:rPr>
          <w:rFonts w:ascii="Liberation Serif" w:hAnsi="Liberation Serif"/>
          <w:b/>
          <w:bCs/>
        </w:rPr>
        <w:t>Background</w:t>
      </w:r>
      <w:r>
        <w:rPr>
          <w:rFonts w:ascii="Liberation Serif" w:hAnsi="Liberation Serif"/>
        </w:rPr>
        <w:t>: Hemispheric laterality influences clinical management in stroke. Given the increasing enthusiasm for surgical management of intracerebral hemorrhage (ICH), we evaluated the association of hemispheric laterality with the likelihood of receiving neurosurgical intervention and subsequent 90-day functional outcomes.</w:t>
      </w:r>
    </w:p>
    <w:p>
      <w:pPr>
        <w:pStyle w:val="BodyText"/>
        <w:rPr>
          <w:rFonts w:ascii="Liberation Serif" w:hAnsi="Liberation Serif"/>
        </w:rPr>
      </w:pPr>
      <w:r>
        <w:rPr>
          <w:rFonts w:ascii="Liberation Serif" w:hAnsi="Liberation Serif"/>
          <w:b/>
          <w:bCs/>
        </w:rPr>
        <w:t>Methods</w:t>
      </w:r>
      <w:r>
        <w:rPr>
          <w:rFonts w:ascii="Liberation Serif" w:hAnsi="Liberation Serif"/>
        </w:rPr>
        <w:t>: This post-hoc analysis included 3477 patients with supratentorial ICH from two prospective studies: the ATACH-2 trial, conducted at 110 sites in the United States, Japan, China, Taiwan, South Korea, and Germany (2011–2015), and the ERICH study, conducted across the United States (2010–2015). The primary outcome was neurosurgical intervention (hematoma evacuation, decompressive craniectomy, or other craniotomy). Secondary outcomes included external ventricular drain (EVD) placement, 90-day modified Rankin Scale (mRS), and EuroQOL domains. Hierarchical Bayesian regression models estimating the association between ICH laterality and outcomes were adjusted for age, admission Glasgow Coma Scale, ICH location, ICH volume, and intraventricular hemorrhage.</w:t>
      </w:r>
    </w:p>
    <w:p>
      <w:pPr>
        <w:pStyle w:val="BodyText"/>
        <w:rPr>
          <w:rFonts w:ascii="Liberation Serif" w:hAnsi="Liberation Serif"/>
        </w:rPr>
      </w:pPr>
      <w:r>
        <w:rPr>
          <w:rFonts w:ascii="Liberation Serif" w:hAnsi="Liberation Serif"/>
          <w:b/>
          <w:bCs/>
        </w:rPr>
        <w:t>Results</w:t>
      </w:r>
      <w:r>
        <w:rPr>
          <w:rFonts w:ascii="Liberation Serif" w:hAnsi="Liberation Serif"/>
        </w:rPr>
        <w:t>: Of 3477 patients, right hemispheric ICH was associated with a higher likelihood of receiving neurosurgical intervention (aOR 1.65, 95% CrI 1.28–2.14) and EVD placement (aOR 1.22, 95% CrI 1.04–1.44) compared to left hemispheric ICH. This association was directionally consistent across ICH locations, study cohorts, and prior specifications. Despite the lower rates of aggressive surgical management, there was no meaningful difference in 90-day functional outcomes in patients with left and right hemispheric ICH.</w:t>
      </w:r>
    </w:p>
    <w:p>
      <w:pPr>
        <w:pStyle w:val="BodyText"/>
        <w:rPr>
          <w:rFonts w:ascii="Liberation Serif" w:hAnsi="Liberation Serif"/>
        </w:rPr>
      </w:pPr>
      <w:r>
        <w:rPr>
          <w:rFonts w:ascii="Liberation Serif" w:hAnsi="Liberation Serif"/>
          <w:b/>
          <w:bCs/>
        </w:rPr>
        <w:t>Conclusions</w:t>
      </w:r>
      <w:r>
        <w:rPr>
          <w:rFonts w:ascii="Liberation Serif" w:hAnsi="Liberation Serif"/>
        </w:rPr>
        <w:t>: Right hemispheric ICH is associated with a higher likelihood of neurosurgical intervention compared to left hemispheric ICH, though 90-day functional outcomes remain similar between groups. While these findings highlight a potential laterality-associated variation in neurosurgical intervention in treatment paradigms, residual confounding from unmeasured anatomical severity and family preferences cannot be excluded. Prospective studies are needed to delineate the explicit clinical and prognostic drivers of surgical decision-making to optimize treatment allocation in ICH.</w:t>
      </w:r>
    </w:p>
    <w:p>
      <w:pPr>
        <w:pStyle w:val="BodyText"/>
        <w:rPr>
          <w:rFonts w:ascii="Liberation Serif" w:hAnsi="Liberation Serif"/>
        </w:rPr>
      </w:pPr>
      <w:r>
        <w:rPr>
          <w:rFonts w:ascii="Liberation Serif" w:hAnsi="Liberation Serif"/>
          <w:b/>
          <w:bCs/>
        </w:rPr>
        <w:t>Trial Registration</w:t>
      </w:r>
      <w:r>
        <w:rPr>
          <w:rFonts w:ascii="Liberation Serif" w:hAnsi="Liberation Serif"/>
        </w:rPr>
        <w:t>: Clinicaltrials.gov Identifier: ATACH-2, NCT01176565; ERICH, NCT01202864</w:t>
      </w:r>
    </w:p>
    <w:p>
      <w:pPr>
        <w:pStyle w:val="Normal"/>
        <w:rPr>
          <w:rFonts w:ascii="Liberation Serif" w:hAnsi="Liberation Serif"/>
        </w:rPr>
      </w:pPr>
      <w:r>
        <w:rPr>
          <w:rFonts w:ascii="Liberation Serif" w:hAnsi="Liberation Serif"/>
        </w:rPr>
      </w:r>
      <w:bookmarkEnd w:id="0"/>
      <w:r>
        <w:br w:type="page"/>
      </w:r>
    </w:p>
    <w:p>
      <w:pPr>
        <w:pStyle w:val="Heading2"/>
        <w:spacing w:before="0" w:after="80"/>
        <w:rPr>
          <w:rFonts w:ascii="Liberation Serif" w:hAnsi="Liberation Serif"/>
        </w:rPr>
      </w:pPr>
      <w:bookmarkStart w:id="1" w:name="introduction"/>
      <w:r>
        <w:rPr>
          <w:rFonts w:ascii="Liberation Serif" w:hAnsi="Liberation Serif"/>
        </w:rPr>
        <w:t>Introduction</w:t>
      </w:r>
    </w:p>
    <w:p>
      <w:pPr>
        <w:pStyle w:val="FirstParagraph"/>
        <w:rPr>
          <w:rFonts w:ascii="Liberation Serif" w:hAnsi="Liberation Serif"/>
        </w:rPr>
      </w:pPr>
      <w:r>
        <w:rPr>
          <w:rFonts w:ascii="Liberation Serif" w:hAnsi="Liberation Serif"/>
        </w:rPr>
        <w:t>Intracerebral hemorrhage (ICH) remains a challenging disease, marked by its sudden onset, morbidity, and mortality.</w:t>
      </w:r>
      <w:r>
        <w:rPr>
          <w:rFonts w:ascii="Liberation Serif" w:hAnsi="Liberation Serif"/>
          <w:vertAlign w:val="superscript"/>
        </w:rPr>
        <w:t>1,2</w:t>
      </w:r>
      <w:r>
        <w:rPr>
          <w:rFonts w:ascii="Liberation Serif" w:hAnsi="Liberation Serif"/>
        </w:rPr>
        <w:t xml:space="preserve"> While management of ischemic stroke has advanced considerably over the last decade, the acute management of ICH remains limited to blood pressure control, coagulopathy reversal, and perhaps surgical evacuation of hemorrhage.</w:t>
      </w:r>
      <w:r>
        <w:rPr>
          <w:rFonts w:ascii="Liberation Serif" w:hAnsi="Liberation Serif"/>
          <w:vertAlign w:val="superscript"/>
        </w:rPr>
        <w:t>3–5</w:t>
      </w:r>
      <w:r>
        <w:rPr>
          <w:rFonts w:ascii="Liberation Serif" w:hAnsi="Liberation Serif"/>
        </w:rPr>
        <w:t xml:space="preserve"> These efforts have focused on reducing mortality and preventing additional morbidity due to secondary injury.</w:t>
      </w:r>
    </w:p>
    <w:p>
      <w:pPr>
        <w:pStyle w:val="BodyText"/>
        <w:rPr>
          <w:rFonts w:ascii="Liberation Serif" w:hAnsi="Liberation Serif"/>
        </w:rPr>
      </w:pPr>
      <w:r>
        <w:rPr>
          <w:rFonts w:ascii="Liberation Serif" w:hAnsi="Liberation Serif"/>
        </w:rPr>
        <w:t>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rPr>
          <w:rFonts w:ascii="Liberation Serif" w:hAnsi="Liberation Serif"/>
        </w:rPr>
      </w:pPr>
      <w:r>
        <w:rPr>
          <w:rFonts w:ascii="Liberation Serif" w:hAnsi="Liberation Serif"/>
        </w:rPr>
        <w:t>Previous research involving patients with ischemic stroke provides evidence that those with right hemispheric injury present later to the hospital and may not be treated as frequently with thrombolytic therapy.</w:t>
      </w:r>
      <w:r>
        <w:rPr>
          <w:rFonts w:ascii="Liberation Serif" w:hAnsi="Liberation Serif"/>
          <w:vertAlign w:val="superscript"/>
        </w:rPr>
        <w:t>6–9</w:t>
      </w:r>
      <w:r>
        <w:rPr>
          <w:rFonts w:ascii="Liberation Serif" w:hAnsi="Liberation Serif"/>
        </w:rPr>
        <w:t xml:space="preserve"> 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rFonts w:ascii="Liberation Serif" w:hAnsi="Liberation Serif"/>
          <w:vertAlign w:val="superscript"/>
        </w:rPr>
        <w:t>10–13</w:t>
      </w:r>
    </w:p>
    <w:p>
      <w:pPr>
        <w:pStyle w:val="BodyText"/>
        <w:rPr>
          <w:rFonts w:ascii="Liberation Serif" w:hAnsi="Liberation Serif"/>
        </w:rPr>
      </w:pPr>
      <w:r>
        <w:rPr>
          <w:rFonts w:ascii="Liberation Serif" w:hAnsi="Liberation Serif"/>
        </w:rPr>
        <w:t>Amidst an increasing enthusiasm for surgical management of ICH</w:t>
      </w:r>
      <w:r>
        <w:rPr>
          <w:rFonts w:ascii="Liberation Serif" w:hAnsi="Liberation Serif"/>
          <w:vertAlign w:val="superscript"/>
        </w:rPr>
        <w:t>3,4,14</w:t>
      </w:r>
      <w:r>
        <w:rPr>
          <w:rFonts w:ascii="Liberation Serif" w:hAnsi="Liberation Serif"/>
        </w:rPr>
        <w:t>, it is important to understand whether hemispheric laterality is associated with differences in surgical decision making, as has been observed for ischemic stroke. We aimed to evaluate the association of hemispheric lateralization of ICH with the likelihood of receiving neurosurgical intervention as well as with functional outcomes.</w:t>
      </w:r>
      <w:bookmarkEnd w:id="1"/>
    </w:p>
    <w:p>
      <w:pPr>
        <w:pStyle w:val="Heading2"/>
        <w:rPr>
          <w:rFonts w:ascii="Liberation Serif" w:hAnsi="Liberation Serif"/>
        </w:rPr>
      </w:pPr>
      <w:bookmarkStart w:id="2" w:name="methods"/>
      <w:r>
        <w:rPr>
          <w:rFonts w:ascii="Liberation Serif" w:hAnsi="Liberation Serif"/>
        </w:rPr>
        <w:t>Methods</w:t>
      </w:r>
    </w:p>
    <w:p>
      <w:pPr>
        <w:pStyle w:val="Heading3"/>
        <w:rPr>
          <w:rFonts w:ascii="Liberation Serif" w:hAnsi="Liberation Serif"/>
        </w:rPr>
      </w:pPr>
      <w:bookmarkStart w:id="3" w:name="study-design-and-participants"/>
      <w:r>
        <w:rPr>
          <w:rFonts w:ascii="Liberation Serif" w:hAnsi="Liberation Serif"/>
        </w:rPr>
        <w:t>Study Design and Participants</w:t>
      </w:r>
    </w:p>
    <w:p>
      <w:pPr>
        <w:pStyle w:val="FirstParagraph"/>
        <w:rPr>
          <w:rFonts w:ascii="Liberation Serif" w:hAnsi="Liberation Serif"/>
        </w:rPr>
      </w:pPr>
      <w:r>
        <w:rPr>
          <w:rFonts w:ascii="Liberation Serif" w:hAnsi="Liberation Serif"/>
        </w:rPr>
        <w:t>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in the United States on patients admitted with ICH, with particular emphasis on recruitment of a racially and ethnically diverse cohort. The protocols and results of both studies have been previously published elsewhere</w:t>
      </w:r>
      <w:r>
        <w:rPr>
          <w:rFonts w:ascii="Liberation Serif" w:hAnsi="Liberation Serif"/>
          <w:vertAlign w:val="superscript"/>
        </w:rPr>
        <w:t>15–17</w:t>
      </w:r>
      <w:r>
        <w:rPr>
          <w:rFonts w:ascii="Liberation Serif" w:hAnsi="Liberation Serif"/>
        </w:rPr>
        <w:t>.</w:t>
      </w:r>
    </w:p>
    <w:p>
      <w:pPr>
        <w:pStyle w:val="BodyText"/>
        <w:rPr>
          <w:rFonts w:ascii="Liberation Serif" w:hAnsi="Liberation Serif"/>
        </w:rPr>
      </w:pPr>
      <w:r>
        <w:rPr>
          <w:rFonts w:ascii="Liberation Serif" w:hAnsi="Liberation Serif"/>
        </w:rPr>
        <w:t>We included all patients enrolled in these two studies with supratentorial location of ICH. We excluded patients with cerebellar or brainstem ICH as well as any patient with primary intraventricular hemorrhage (IVH).</w:t>
      </w:r>
    </w:p>
    <w:p>
      <w:pPr>
        <w:pStyle w:val="BodyText"/>
        <w:rPr>
          <w:rFonts w:ascii="Liberation Serif" w:hAnsi="Liberation Serif"/>
        </w:rPr>
      </w:pPr>
      <w:r>
        <w:rPr>
          <w:rFonts w:ascii="Liberation Serif" w:hAnsi="Liberation Serif"/>
        </w:rPr>
        <w:t>The study was approved by the institutional review board of the Wake Forest School of Medicine (IRB00098198).</w:t>
      </w:r>
      <w:bookmarkEnd w:id="3"/>
    </w:p>
    <w:p>
      <w:pPr>
        <w:pStyle w:val="Heading3"/>
        <w:rPr>
          <w:rFonts w:ascii="Liberation Serif" w:hAnsi="Liberation Serif"/>
        </w:rPr>
      </w:pPr>
      <w:bookmarkStart w:id="4" w:name="exposures-and-outcomes"/>
      <w:r>
        <w:rPr>
          <w:rFonts w:ascii="Liberation Serif" w:hAnsi="Liberation Serif"/>
        </w:rPr>
        <w:t>Exposures and Outcomes</w:t>
      </w:r>
    </w:p>
    <w:p>
      <w:pPr>
        <w:pStyle w:val="FirstParagraph"/>
        <w:rPr>
          <w:rFonts w:ascii="Liberation Serif" w:hAnsi="Liberation Serif"/>
        </w:rPr>
      </w:pPr>
      <w:r>
        <w:rPr>
          <w:rFonts w:ascii="Liberation Serif" w:hAnsi="Liberation Serif"/>
        </w:rPr>
        <w:t>Our exposure was hemispheric laterality (left versus right). Our primary outcome was neurosurgical intervention as a binary variable defined as receiving a hematoma evacuation, decompressive craniectomy, or other craniotomy.</w:t>
      </w:r>
    </w:p>
    <w:p>
      <w:pPr>
        <w:pStyle w:val="BodyText"/>
        <w:rPr>
          <w:rFonts w:ascii="Liberation Serif" w:hAnsi="Liberation Serif"/>
        </w:rPr>
      </w:pPr>
      <w:r>
        <w:rPr>
          <w:rFonts w:ascii="Liberation Serif" w:hAnsi="Liberation Serif"/>
        </w:rPr>
        <w:t>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hours from symptom onset). Receipt of an EVD was considered as a distinct outcome from neurosurgical intervention because the decision-making for each is slightly different. Placement of an EVD involves consideration of the presence of hydrocephalus and IVH, while neurosurgical intervention is affected by hematoma location, volume, midline shift, and other factors.</w:t>
      </w:r>
    </w:p>
    <w:p>
      <w:pPr>
        <w:pStyle w:val="BodyText"/>
        <w:rPr>
          <w:rFonts w:ascii="Liberation Serif" w:hAnsi="Liberation Serif"/>
        </w:rPr>
      </w:pPr>
      <w:r>
        <w:rPr>
          <w:rFonts w:ascii="Liberation Serif" w:hAnsi="Liberation Serif"/>
        </w:rPr>
        <w:t>Our primary functional outcome was modified Rankin score (mRS) at 90 days analyzed via ordinal regression. We also examined quality of life as assessed by the European Quality of Life-5 dimensions (EQ-5D) questionnaire. In both studies, the mRS was obtained via a standardized, structured interview and the EQ-5D via a standardized questionnaire.</w:t>
      </w:r>
      <w:bookmarkEnd w:id="4"/>
    </w:p>
    <w:p>
      <w:pPr>
        <w:pStyle w:val="Heading3"/>
        <w:rPr>
          <w:rFonts w:ascii="Liberation Serif" w:hAnsi="Liberation Serif"/>
        </w:rPr>
      </w:pPr>
      <w:bookmarkStart w:id="5" w:name="statistical-analysis"/>
      <w:r>
        <w:rPr>
          <w:rFonts w:ascii="Liberation Serif" w:hAnsi="Liberation Serif"/>
        </w:rPr>
        <w:t>Statistical Analysis</w:t>
      </w:r>
    </w:p>
    <w:p>
      <w:pPr>
        <w:pStyle w:val="FirstParagraph"/>
        <w:rPr>
          <w:rFonts w:ascii="Liberation Serif" w:hAnsi="Liberation Serif"/>
        </w:rPr>
      </w:pPr>
      <w:r>
        <w:rPr>
          <w:rFonts w:ascii="Liberation Serif" w:hAnsi="Liberation Serif"/>
        </w:rPr>
        <w:t>Associations between hemispheric laterality and clinical outcomes were evaluated using hierarchical Bayesian regression models, adjusting for the covariates listed below with a random intercept applied to the enrolling study cohort.</w:t>
      </w:r>
    </w:p>
    <w:p>
      <w:pPr>
        <w:pStyle w:val="BodyText"/>
        <w:rPr>
          <w:rFonts w:ascii="Liberation Serif" w:hAnsi="Liberation Serif"/>
        </w:rPr>
      </w:pPr>
      <w:r>
        <w:rPr>
          <w:rFonts w:ascii="Liberation Serif" w:hAnsi="Liberation Serif"/>
        </w:rPr>
        <w:t>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rFonts w:ascii="Liberation Serif" w:hAnsi="Liberation Serif"/>
          <w:vertAlign w:val="superscript"/>
        </w:rPr>
        <w:t>18,19</w:t>
      </w:r>
      <w:r>
        <w:rPr>
          <w:rFonts w:ascii="Liberation Serif" w:hAnsi="Liberation Serif"/>
        </w:rPr>
        <w:t xml:space="preserve"> This report adheres to the Bayesian Analysis Reporting and STROBE Guidelines.</w:t>
      </w:r>
      <w:r>
        <w:rPr>
          <w:rFonts w:ascii="Liberation Serif" w:hAnsi="Liberation Serif"/>
          <w:vertAlign w:val="superscript"/>
        </w:rPr>
        <w:t>20,21</w:t>
      </w:r>
    </w:p>
    <w:p>
      <w:pPr>
        <w:pStyle w:val="BodyText"/>
        <w:rPr>
          <w:rFonts w:ascii="Liberation Serif" w:hAnsi="Liberation Serif"/>
        </w:rPr>
      </w:pPr>
      <w:r>
        <w:rPr>
          <w:rFonts w:ascii="Liberation Serif" w:hAnsi="Liberation Serif"/>
        </w:rPr>
        <w:t>Binary, ordinal, and count-based outcomes were modeled using hierarchical Bayesian logistic, ordinal logistic, and zero-inflated negative binomial regressions, respectively. The European Quality of Life Visual Analog Scale (EQ-VAS) was scaled to a proportion and analyzed via hierarchical Bayesian zero-one inflated beta (ZOIB) regression. Because our adjusted models included an interaction term between hemispheric laterality and ICH location, the raw main-effect coefficients for laterality are conditional on the reference location. To calculate the overall average effect of laterality across the entire cohort, we applied marginal standardization (G-computation) to all models. This allowed us to estimate average marginal effects while averaging over the empirical distribution of all covariates and the random intercept.</w:t>
      </w:r>
    </w:p>
    <w:p>
      <w:pPr>
        <w:pStyle w:val="BodyText"/>
        <w:rPr>
          <w:rFonts w:ascii="Liberation Serif" w:hAnsi="Liberation Serif"/>
        </w:rPr>
      </w:pPr>
      <w:r>
        <w:rPr>
          <w:rFonts w:ascii="Liberation Serif" w:hAnsi="Liberation Serif"/>
        </w:rPr>
        <w:t>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hospital site and compared the posterior estimates for the association with laterality.</w:t>
      </w:r>
    </w:p>
    <w:p>
      <w:pPr>
        <w:pStyle w:val="BodyText"/>
        <w:rPr>
          <w:rFonts w:ascii="Liberation Serif" w:hAnsi="Liberation Serif"/>
        </w:rPr>
      </w:pPr>
      <w:r>
        <w:rPr>
          <w:rFonts w:ascii="Liberation Serif" w:hAnsi="Liberation Serif"/>
        </w:rPr>
        <w:t>All analyses were performed in R version 4.4.2 (R Foundation for Statistical Computing, Vienna, Austria). All packages used for the analysis are listed in the Supplemental Appendix.</w:t>
      </w:r>
    </w:p>
    <w:p>
      <w:pPr>
        <w:pStyle w:val="Heading4"/>
        <w:rPr>
          <w:rFonts w:ascii="Liberation Serif" w:hAnsi="Liberation Serif"/>
        </w:rPr>
      </w:pPr>
      <w:bookmarkStart w:id="6" w:name="covariate-selection"/>
      <w:r>
        <w:rPr>
          <w:rFonts w:ascii="Liberation Serif" w:hAnsi="Liberation Serif"/>
        </w:rPr>
        <w:t>Covariate Selection</w:t>
      </w:r>
    </w:p>
    <w:p>
      <w:pPr>
        <w:pStyle w:val="FirstParagraph"/>
        <w:rPr>
          <w:rFonts w:ascii="Liberation Serif" w:hAnsi="Liberation Serif"/>
        </w:rPr>
      </w:pPr>
      <w:r>
        <w:rPr>
          <w:rFonts w:ascii="Liberation Serif" w:hAnsi="Liberation Serif"/>
        </w:rPr>
        <w:t>We constructed directed acyclic graphs (DAGs) to model our causal assumptions and to guide covariate selection for each estimand.</w:t>
      </w:r>
      <w:r>
        <w:rPr>
          <w:rFonts w:ascii="Liberation Serif" w:hAnsi="Liberation Serif"/>
          <w:vertAlign w:val="superscript"/>
        </w:rPr>
        <w:t>22–24</w:t>
      </w:r>
      <w:r>
        <w:rPr>
          <w:rFonts w:ascii="Liberation Serif" w:hAnsi="Liberation Serif"/>
        </w:rPr>
        <w:t xml:space="preserve"> For neurosurgical intervention and other acute care outcomes, the target estimand was the total effect of hemispheric laterality on treatment decisions. Models were adjusted for baseline confounders that independently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rPr>
          <w:rFonts w:ascii="Liberation Serif" w:hAnsi="Liberation Serif"/>
        </w:rPr>
      </w:pPr>
      <w:r>
        <w:rPr>
          <w:rFonts w:ascii="Liberation Serif" w:hAnsi="Liberation Serif"/>
        </w:rPr>
        <w:t>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rFonts w:ascii="Liberation Serif" w:hAnsi="Liberation Serif"/>
          <w:vertAlign w:val="superscript"/>
        </w:rPr>
        <w:t>23</w:t>
      </w:r>
      <w:r>
        <w:rPr>
          <w:rFonts w:ascii="Liberation Serif" w:hAnsi="Liberation Serif"/>
        </w:rPr>
        <w:t xml:space="preserve"> The DAGs and further details of the covariate selection rationale are presented in the Supplemental Appendix.</w:t>
      </w:r>
      <w:bookmarkEnd w:id="6"/>
    </w:p>
    <w:p>
      <w:pPr>
        <w:pStyle w:val="Heading4"/>
        <w:rPr>
          <w:rFonts w:ascii="Liberation Serif" w:hAnsi="Liberation Serif"/>
        </w:rPr>
      </w:pPr>
      <w:bookmarkStart w:id="7" w:name="prior-distribution-specification"/>
      <w:r>
        <w:rPr>
          <w:rFonts w:ascii="Liberation Serif" w:hAnsi="Liberation Serif"/>
        </w:rPr>
        <w:t>Prior Distribution Specification</w:t>
      </w:r>
    </w:p>
    <w:p>
      <w:pPr>
        <w:pStyle w:val="FirstParagraph"/>
        <w:rPr>
          <w:rFonts w:ascii="Liberation Serif" w:hAnsi="Liberation Serif"/>
        </w:rPr>
      </w:pPr>
      <w:r>
        <w:rPr>
          <w:rFonts w:ascii="Liberation Serif" w:hAnsi="Liberation Serif"/>
        </w:rPr>
        <w:t>To assess the robustness of our findings, we applied four sets of prior distributions for the primary exposure across all models. Because the models utilize different link functions depending on the outcome distribution (e.g., logit for binary/ordinal outcomes, log for count outcomes), these priors correspond to log-odds ratios (OR), log-incidence rate ratios (IRR), or log-mean differences.</w:t>
      </w:r>
    </w:p>
    <w:p>
      <w:pPr>
        <w:pStyle w:val="BodyText"/>
        <w:rPr>
          <w:rFonts w:ascii="Liberation Serif" w:hAnsi="Liberation Serif"/>
        </w:rPr>
      </w:pPr>
      <w:r>
        <w:rPr>
          <w:rFonts w:ascii="Liberation Serif" w:hAnsi="Liberation Serif"/>
        </w:rPr>
        <w:t>The four prior sets were: (1) a neutral, weakly informative prior centered on a null effect (Normal(0, 0.5)); (2) an informative left-hemisphere prior favoring outcomes in left-hemispheric patients (Normal(-0.22, 0.175)); (3) an informative right-hemisphere prior favoring outcomes in right-hemispheric patients (Normal(0.18, 0.175)); and (4) a vague, diffuse prior (Normal(0, 5)) that provides minimal information to the posterior, approximating the assumptions of a frequentist analysis. Further rationale and empirical evaluations of these priors are detailed in the Supplemental Appendix.</w:t>
      </w:r>
      <w:bookmarkEnd w:id="7"/>
    </w:p>
    <w:p>
      <w:pPr>
        <w:pStyle w:val="Heading4"/>
        <w:rPr>
          <w:rFonts w:ascii="Liberation Serif" w:hAnsi="Liberation Serif"/>
        </w:rPr>
      </w:pPr>
      <w:bookmarkStart w:id="8" w:name="Xa47fa65c2b7f49382486b74e1c4ed3022604078"/>
      <w:r>
        <w:rPr>
          <w:rFonts w:ascii="Liberation Serif" w:hAnsi="Liberation Serif"/>
        </w:rPr>
        <w:t>Computation and Description of the Posterior Distribution</w:t>
      </w:r>
    </w:p>
    <w:p>
      <w:pPr>
        <w:pStyle w:val="FirstParagraph"/>
        <w:rPr>
          <w:rFonts w:ascii="Liberation Serif" w:hAnsi="Liberation Serif"/>
        </w:rPr>
      </w:pPr>
      <w:r>
        <w:rPr>
          <w:rFonts w:ascii="Liberation Serif" w:hAnsi="Liberation Serif"/>
        </w:rPr>
        <w:t>For the effect of hemispheric laterality, we report the following metrics derived from the marginalized posterior distributions: 1) the median posterior effect size with 95% credible intervals (CrI); 2) the probability of any directional difference; 3) the probability of a substantial difference defined a priori; and 4) the percentage of the posterior distribution falling within a predefined region of practical equivalence (ROPE).</w:t>
      </w:r>
    </w:p>
    <w:p>
      <w:pPr>
        <w:pStyle w:val="BodyText"/>
        <w:rPr>
          <w:rFonts w:ascii="Liberation Serif" w:hAnsi="Liberation Serif"/>
        </w:rPr>
      </w:pPr>
      <w:r>
        <w:rPr>
          <w:rFonts w:ascii="Liberation Serif" w:hAnsi="Liberation Serif"/>
        </w:rPr>
        <w:t>Effect sizes are reported as marginal odds ratios (OR) for binary and ordinal models, marginal incidence rate ratios (IRR) for the count component of the negative binomial models, and average marginal expected mean differences on the original 0–100 scale for the EQ-VAS (derived via G-computation). We defined a substantial difference as an odds ratio (OR) &gt; 1.2 (or a mean difference of 5 points for the Euro VAS). In the context of invasive procedures such as hemicraniectomy or hematoma evacuation, we posited that a 20% relative shift in treatment odds represents a minimum threshold that would meaningfully impact clinical and shared decision-making. The full rationale for these thresholds and the ROPE bounds for ORs and IRRs are detailed in the Supplemental Appendix.</w:t>
      </w:r>
      <w:bookmarkEnd w:id="8"/>
    </w:p>
    <w:p>
      <w:pPr>
        <w:pStyle w:val="Heading4"/>
        <w:rPr>
          <w:rFonts w:ascii="Liberation Serif" w:hAnsi="Liberation Serif"/>
        </w:rPr>
      </w:pPr>
      <w:bookmarkStart w:id="9" w:name="Xb6b655a891224ddee9981b292c43eac49eeddc4"/>
      <w:r>
        <w:rPr>
          <w:rFonts w:ascii="Liberation Serif" w:hAnsi="Liberation Serif"/>
        </w:rPr>
        <w:t>Missing Data Treatment and Sensitivity Analyses</w:t>
      </w:r>
    </w:p>
    <w:p>
      <w:pPr>
        <w:pStyle w:val="FirstParagraph"/>
        <w:rPr>
          <w:rFonts w:ascii="Liberation Serif" w:hAnsi="Liberation Serif"/>
        </w:rPr>
      </w:pPr>
      <w:r>
        <w:rPr>
          <w:rFonts w:ascii="Liberation Serif" w:hAnsi="Liberation Serif"/>
        </w:rPr>
        <w:t>Baseline covariates used in model adjustment (e.g., age, GCS, ICH volume) had minimal missingness (&lt; 1%). Missingness for 90-day functional outcomes was more substantial but was balanced across laterality groups. Detailed missingness rates, assessments supporting the Missing at Random (MAR) assumption, and imputation diagnostics are reported in the Supplemental Appendix.</w:t>
      </w:r>
    </w:p>
    <w:p>
      <w:pPr>
        <w:pStyle w:val="BodyText"/>
        <w:rPr>
          <w:rFonts w:ascii="Liberation Serif" w:hAnsi="Liberation Serif"/>
        </w:rPr>
      </w:pPr>
      <w:r>
        <w:rPr>
          <w:rFonts w:ascii="Liberation Serif" w:hAnsi="Liberation Serif"/>
        </w:rPr>
        <w:t>Our primary analysis for 90-day functional outcomes used multiple imputation by chained equations (MICE) to address missing data, generating 20 imputed datasets using the mice package. Imputation models included all analysis covariates and all primary and secondary outcomes. Including all functional outcomes (e.g., mRS and EuroQOL domains) in the imputation equations allowed them to serve as highly informative auxiliary variables for one another, optimizing the imputation of missing outcome data. Predictive mean matching was used for continuous and ordinal variables, logistic regression for binary variables, and polytomous regression for nominal variables. Each Bayesian model was fitted separately to each imputed dataset, and posterior draws were pooled across imputations to produce the reported estimates and CrI. A complete-case sensitivity analysis was also performed.</w:t>
      </w:r>
    </w:p>
    <w:p>
      <w:pPr>
        <w:pStyle w:val="BodyText"/>
        <w:rPr>
          <w:rFonts w:ascii="Liberation Serif" w:hAnsi="Liberation Serif"/>
        </w:rPr>
      </w:pPr>
      <w:r>
        <w:rPr>
          <w:rFonts w:ascii="Liberation Serif" w:hAnsi="Liberation Serif"/>
        </w:rPr>
        <w:t>In addition to the missing data analysis, we analyzed our models using the four sets of prior distributions described above. To evaluate potential effect modification on acute care decisions, we fitted models containing formal interaction terms between hemispheric laterality and ICH location, and laterality and study source. Because missingness in baseline covariates and acute surgical outcomes was negligible, these exploratory subgroup interaction models—as well as a prespecified sensitivity analysis for all outcomes—were fitted to complete-case data (excluding patients missing the specific outcome being modeled) for computational efficiency. Subgroup-specific aORs and interaction Ratio of Odds Ratios (ROR) with 95% CrI were computed to evaluate heterogeneity.</w:t>
      </w:r>
      <w:bookmarkEnd w:id="5"/>
      <w:bookmarkEnd w:id="9"/>
    </w:p>
    <w:p>
      <w:pPr>
        <w:pStyle w:val="Heading3"/>
        <w:rPr>
          <w:rFonts w:ascii="Liberation Serif" w:hAnsi="Liberation Serif"/>
        </w:rPr>
      </w:pPr>
      <w:bookmarkStart w:id="10" w:name="data-availability-statement"/>
      <w:r>
        <w:rPr>
          <w:rFonts w:ascii="Liberation Serif" w:hAnsi="Liberation Serif"/>
        </w:rPr>
        <w:t>Data Availability Statement</w:t>
      </w:r>
    </w:p>
    <w:p>
      <w:pPr>
        <w:pStyle w:val="FirstParagraph"/>
        <w:rPr/>
      </w:pPr>
      <w:r>
        <w:rPr>
          <w:rFonts w:ascii="Liberation Serif" w:hAnsi="Liberation Serif"/>
        </w:rP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Neurological Disorders and Stroke (NINDS). The datasets can be obtained after approval of a written proposal as outlined on the NINDS website. As outlined in the NINDS Data Request Agreement, the analysis code is publicly available at </w:t>
      </w:r>
      <w:hyperlink r:id="rId3">
        <w:r>
          <w:rPr>
            <w:rStyle w:val="Hyperlink"/>
            <w:rFonts w:ascii="Liberation Serif" w:hAnsi="Liberation Serif"/>
          </w:rPr>
          <w:t>https://github.com/nikhilpatelmd/ich-laterality</w:t>
        </w:r>
      </w:hyperlink>
      <w:r>
        <w:rPr>
          <w:rFonts w:ascii="Liberation Serif" w:hAnsi="Liberation Serif"/>
        </w:rPr>
        <w:t>.</w:t>
      </w:r>
      <w:bookmarkEnd w:id="2"/>
      <w:bookmarkEnd w:id="10"/>
    </w:p>
    <w:p>
      <w:pPr>
        <w:pStyle w:val="Heading2"/>
        <w:rPr>
          <w:rFonts w:ascii="Liberation Serif" w:hAnsi="Liberation Serif"/>
        </w:rPr>
      </w:pPr>
      <w:bookmarkStart w:id="11" w:name="results"/>
      <w:r>
        <w:rPr>
          <w:rFonts w:ascii="Liberation Serif" w:hAnsi="Liberation Serif"/>
        </w:rPr>
        <w:t>Results</w:t>
      </w:r>
    </w:p>
    <w:p>
      <w:pPr>
        <w:pStyle w:val="Heading3"/>
        <w:rPr>
          <w:rFonts w:ascii="Liberation Serif" w:hAnsi="Liberation Serif"/>
        </w:rPr>
      </w:pPr>
      <w:bookmarkStart w:id="12" w:name="baseline-characteristics"/>
      <w:r>
        <w:rPr>
          <w:rFonts w:ascii="Liberation Serif" w:hAnsi="Liberation Serif"/>
        </w:rPr>
        <w:t>Baseline Characteristics</w:t>
      </w:r>
    </w:p>
    <w:p>
      <w:pPr>
        <w:pStyle w:val="FirstParagraph"/>
        <w:rPr>
          <w:rFonts w:ascii="Liberation Serif" w:hAnsi="Liberation Serif"/>
        </w:rPr>
      </w:pPr>
      <w:r>
        <w:rPr>
          <w:rFonts w:ascii="Liberation Serif" w:hAnsi="Liberation Serif"/>
        </w:rPr>
        <w:t>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bookmarkEnd w:id="12"/>
    </w:p>
    <w:p>
      <w:pPr>
        <w:pStyle w:val="Heading3"/>
        <w:rPr>
          <w:rFonts w:ascii="Liberation Serif" w:hAnsi="Liberation Serif"/>
        </w:rPr>
      </w:pPr>
      <w:bookmarkStart w:id="13" w:name="X1916834cd07f085dde90be7ab518c46c5d60659"/>
      <w:r>
        <w:rPr>
          <w:rFonts w:ascii="Liberation Serif" w:hAnsi="Liberation Serif"/>
        </w:rPr>
        <w:t>Hemispheric Laterality and Neurosurgical Intervention</w:t>
      </w:r>
    </w:p>
    <w:p>
      <w:pPr>
        <w:pStyle w:val="FirstParagraph"/>
        <w:rPr>
          <w:rFonts w:ascii="Liberation Serif" w:hAnsi="Liberation Serif"/>
        </w:rPr>
      </w:pPr>
      <w:r>
        <w:rPr>
          <w:rFonts w:ascii="Liberation Serif" w:hAnsi="Liberation Serif"/>
        </w:rPr>
        <w:t>Associations between hemispheric laterality and primary and secondary outcomes are shown in Table 2. 86 (5.0%) patients with left hemispheric ICH underwent neurosurgical intervention, compared to 144 (8.2%) with right hemispheric ICH (aOR 1.65, 95% CrI 1.28–2.14). The posterior probability that the aOR exceeded 1 was &gt; 99.9%, and the posterior probability of a substantial difference (aOR &gt; 1.2) was 99.3%. Less than &lt; 0.1% of the posterior distribution fell within the ROPE.</w:t>
      </w:r>
    </w:p>
    <w:p>
      <w:pPr>
        <w:pStyle w:val="BodyText"/>
        <w:rPr>
          <w:rFonts w:ascii="Liberation Serif" w:hAnsi="Liberation Serif"/>
        </w:rPr>
      </w:pPr>
      <w:r>
        <w:rPr>
          <w:rFonts w:ascii="Liberation Serif" w:hAnsi="Liberation Serif"/>
        </w:rPr>
        <w:t>In exploratory subgroup analyses, the association between right hemispheric ICH and neurosurgical intervention remained directionally consistent across all evaluated ICH locations and source studies. Formal interaction analyses yielded wide credible intervals for the Ratio of Odds Ratios (ROR), providing insufficient evidence to conclude that the laterality effect differed meaningfully across these subgroups (Supplemental Table 10).</w:t>
      </w:r>
    </w:p>
    <w:p>
      <w:pPr>
        <w:pStyle w:val="BodyText"/>
        <w:rPr>
          <w:rFonts w:ascii="Liberation Serif" w:hAnsi="Liberation Serif"/>
        </w:rPr>
      </w:pPr>
      <w:r>
        <w:rPr>
          <w:rFonts w:ascii="Liberation Serif" w:hAnsi="Liberation Serif"/>
        </w:rPr>
        <w:t>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probability difference (Right − Left) across all four prior specifications. Under the neutral prior, the median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diffuse prior, with P(Right &gt; Left) exceeding 99.9% under all specifications. Further details are available in Supplemental Tables 14-17.</w:t>
      </w:r>
    </w:p>
    <w:p>
      <w:pPr>
        <w:pStyle w:val="BodyText"/>
        <w:rPr>
          <w:rFonts w:ascii="Liberation Serif" w:hAnsi="Liberation Serif"/>
        </w:rPr>
      </w:pPr>
      <w:r>
        <w:rPr>
          <w:rFonts w:ascii="Liberation Serif" w:hAnsi="Liberation Serif"/>
        </w:rPr>
        <w:t>In a sensitivity analysis restricted to the ATACH-2 cohort, a random intercept for the enrolling hospital was included to account for site-level clustering. The base model yielded an adjusted odds ratio of 2.23 (95% CrI: 1.31–3.76). With the inclusion of the site-level random effect, the adjusted odds ratio was 1.86 (95% CrI: 1.10–3.16). For this hierarchical model, the posterior probability of any directional effect (aOR &gt; 1) was 99%, the posterior probability of an aOR &gt; 1.2 was 95%, and 1% of the posterior distribution fell within the region of practical equivalence (Supplemental Table 18).</w:t>
      </w:r>
      <w:bookmarkEnd w:id="13"/>
    </w:p>
    <w:p>
      <w:pPr>
        <w:pStyle w:val="Heading3"/>
        <w:rPr>
          <w:rFonts w:ascii="Liberation Serif" w:hAnsi="Liberation Serif"/>
        </w:rPr>
      </w:pPr>
      <w:bookmarkStart w:id="14" w:name="X35a142ea301be59e62227349f8c14b571c0f47d"/>
      <w:r>
        <w:rPr>
          <w:rFonts w:ascii="Liberation Serif" w:hAnsi="Liberation Serif"/>
        </w:rPr>
        <w:t>Hemispheric Laterality and Secondary Outcomes</w:t>
      </w:r>
    </w:p>
    <w:p>
      <w:pPr>
        <w:pStyle w:val="FirstParagraph"/>
        <w:rPr>
          <w:rFonts w:ascii="Liberation Serif" w:hAnsi="Liberation Serif"/>
        </w:rPr>
      </w:pPr>
      <w:r>
        <w:rPr>
          <w:rFonts w:ascii="Liberation Serif" w:hAnsi="Liberation Serif"/>
        </w:rPr>
        <w:t>A total of 236 (13.7%) with left hemispheric ICH had an EVD placed as compared to 272 (15.5%) with right hemispheric ICH (aOR 1.22, 95% CrI 1.04–1.44). The posterior probability that the aOR exceeded 1 was 99.2%, and the posterior probability of a substantial difference (aOR &gt; 1.2) was 58.2%. 3.3% of the posterior distribution fell within the ROPE.</w:t>
      </w:r>
    </w:p>
    <w:p>
      <w:pPr>
        <w:pStyle w:val="BodyText"/>
        <w:rPr>
          <w:rFonts w:ascii="Liberation Serif" w:hAnsi="Liberation Serif"/>
        </w:rPr>
      </w:pPr>
      <w:r>
        <w:rPr>
          <w:rFonts w:ascii="Liberation Serif" w:hAnsi="Liberation Serif"/>
        </w:rPr>
        <w:t>Median days on mechanical ventilation were 6 (3 – 12) and 6 (3 – 9) for left and right hemispheric ICH, respectively (IRR 0.99, 95% CrI 0.89–1.09). The posterior probability that the IRR exceeded 1 was 39%, and 65.6% of the posterior distribution fell within the ROPE.</w:t>
      </w:r>
    </w:p>
    <w:p>
      <w:pPr>
        <w:pStyle w:val="BodyText"/>
        <w:rPr>
          <w:rFonts w:ascii="Liberation Serif" w:hAnsi="Liberation Serif"/>
        </w:rPr>
      </w:pPr>
      <w:r>
        <w:rPr>
          <w:rFonts w:ascii="Liberation Serif" w:hAnsi="Liberation Serif"/>
        </w:rPr>
        <w:t>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t>
      </w:r>
      <w:bookmarkEnd w:id="14"/>
    </w:p>
    <w:p>
      <w:pPr>
        <w:pStyle w:val="Heading3"/>
        <w:rPr>
          <w:rFonts w:ascii="Liberation Serif" w:hAnsi="Liberation Serif"/>
        </w:rPr>
      </w:pPr>
      <w:bookmarkStart w:id="15" w:name="X497d2c87b36dfef7f34a746e297a0b417356437"/>
      <w:r>
        <w:rPr>
          <w:rFonts w:ascii="Liberation Serif" w:hAnsi="Liberation Serif"/>
        </w:rPr>
        <w:t>Hemispheric Laterality and Functional Outcomes</w:t>
      </w:r>
    </w:p>
    <w:p>
      <w:pPr>
        <w:pStyle w:val="FirstParagraph"/>
        <w:rPr>
          <w:rFonts w:ascii="Liberation Serif" w:hAnsi="Liberation Serif"/>
        </w:rPr>
      </w:pPr>
      <w:r>
        <w:rPr>
          <w:rFonts w:ascii="Liberation Serif" w:hAnsi="Liberation Serif"/>
        </w:rPr>
        <w:t>Associations between hemispheric laterality and functional outcomes are shown in Table 3. The aOR for a worse mRS score at 90 days for right hemispheric ICH compared to left hemispheric ICH was 0.99 (95% CrI 0.98–1.00), with a posterior probability that the aOR exceeded 1 of 0.7% and &gt; 99.9% of the posterior distribution within the ROPE. Figure 2 displays the covariate-adjusted absolute marginal predicted cumulative distributions of mRS at 90 days for left and right hemispheric ICH under the neutral prior.</w:t>
      </w:r>
    </w:p>
    <w:p>
      <w:pPr>
        <w:pStyle w:val="BodyText"/>
        <w:rPr>
          <w:rFonts w:ascii="Liberation Serif" w:hAnsi="Liberation Serif"/>
        </w:rPr>
      </w:pPr>
      <w:r>
        <w:rPr>
          <w:rFonts w:ascii="Liberation Serif" w:hAnsi="Liberation Serif"/>
        </w:rPr>
        <w:t>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Euro 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w:t>
      </w:r>
    </w:p>
    <w:p>
      <w:pPr>
        <w:pStyle w:val="BodyText"/>
        <w:rPr>
          <w:rFonts w:ascii="Liberation Serif" w:hAnsi="Liberation Serif"/>
        </w:rPr>
      </w:pPr>
      <w:r>
        <w:rPr>
          <w:rFonts w:ascii="Liberation Serif" w:hAnsi="Liberation Serif"/>
        </w:rPr>
        <w:t>Results from sensitivity analyses using alternative priors and complete case analysis are presented in Supplemental Tables 11-14 and are directionally consistent with these results.</w:t>
      </w:r>
      <w:bookmarkEnd w:id="11"/>
      <w:bookmarkEnd w:id="15"/>
    </w:p>
    <w:p>
      <w:pPr>
        <w:pStyle w:val="Heading2"/>
        <w:rPr>
          <w:rFonts w:ascii="Liberation Serif" w:hAnsi="Liberation Serif"/>
        </w:rPr>
      </w:pPr>
      <w:bookmarkStart w:id="16" w:name="discussion"/>
      <w:r>
        <w:rPr>
          <w:rFonts w:ascii="Liberation Serif" w:hAnsi="Liberation Serif"/>
        </w:rPr>
        <w:t>Discussion</w:t>
      </w:r>
    </w:p>
    <w:p>
      <w:pPr>
        <w:pStyle w:val="FirstParagraph"/>
        <w:rPr>
          <w:rFonts w:ascii="Liberation Serif" w:hAnsi="Liberation Serif"/>
        </w:rPr>
      </w:pPr>
      <w:r>
        <w:rPr>
          <w:rFonts w:ascii="Liberation Serif" w:hAnsi="Liberation Serif"/>
        </w:rPr>
        <w:t>In this pooled analysis of 3477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although this was a more modest association. This finding was directionally consistent across ICH locations, study cohorts, and prior specifications, though incorporating a hospital-level random intercept to account for site-level clustering modestly attenuated the effect. Despite less aggressive surgical management, there was no meaningful difference in 90-day functional outcomes in patients with left and right hemispheric ICH. This finding aligns with previous literature in both ICH and ischemic stroke, where a clear association between hemispheric laterality and functional outcomes has often been difficult to establish.</w:t>
      </w:r>
      <w:r>
        <w:rPr>
          <w:rFonts w:ascii="Liberation Serif" w:hAnsi="Liberation Serif"/>
          <w:vertAlign w:val="superscript"/>
        </w:rPr>
        <w:t>10,11,13,25,26</w:t>
      </w:r>
    </w:p>
    <w:p>
      <w:pPr>
        <w:pStyle w:val="BodyText"/>
        <w:rPr>
          <w:rFonts w:ascii="Liberation Serif" w:hAnsi="Liberation Serif"/>
        </w:rPr>
      </w:pPr>
      <w:r>
        <w:rPr>
          <w:rFonts w:ascii="Liberation Serif" w:hAnsi="Liberation Serif"/>
        </w:rPr>
        <w:t>The exact mechanisms driving these associations remain unclear, and the observational nature of the data precludes causal inferences. In both the ATACH-2 and ERICH studies, neurosurgical candidacy was not governed by strict trial protocols but was left entirely to clinician discretion. Furthermore, ATACH-2 excluded patients who required immediate, life-saving hematoma evacuation upon presentation. Therefore, the observed association in our cohort likely reflects a complex interplay of clinical triage, unmeasured anatomical severity, and shared decision-making rather than isolated treatment bias.</w:t>
      </w:r>
    </w:p>
    <w:p>
      <w:pPr>
        <w:pStyle w:val="BodyText"/>
        <w:rPr>
          <w:rFonts w:ascii="Liberation Serif" w:hAnsi="Liberation Serif"/>
        </w:rPr>
      </w:pPr>
      <w:r>
        <w:rPr>
          <w:rFonts w:ascii="Liberation Serif" w:hAnsi="Liberation Serif"/>
        </w:rPr>
        <w:t>One plausible explanation for this association involves language-related prognostic framing. Left-hemispheric ICH is frequently associated with aphasia, a deficit that clinicians, patients, and families historically weigh heavily when anticipating long-term quality of life.</w:t>
      </w:r>
      <w:r>
        <w:rPr>
          <w:rFonts w:ascii="Liberation Serif" w:hAnsi="Liberation Serif"/>
          <w:vertAlign w:val="superscript"/>
        </w:rPr>
        <w:t>27–29</w:t>
      </w:r>
      <w:r>
        <w:rPr>
          <w:rFonts w:ascii="Liberation Serif" w:hAnsi="Liberation Serif"/>
        </w:rPr>
        <w:t xml:space="preserve"> Prognostic framing that emphasizes the risk of severe aphasia may heavily influence surrogate decision-makers during early goals-of-care discussions, potentially driving lower intervention rates. This dynamic is consistent with the well-characterized self-fulfilling prophecy in neurocritical care. Conversely, severe neglect—which commonly complicates right-hemispheric lesions and profoundly impairs mobility and self-care—may be less frequently emphasized as a barrier to surgical candidacy, despite its distinct impact on caregiver burden and long-term disability.</w:t>
      </w:r>
    </w:p>
    <w:p>
      <w:pPr>
        <w:pStyle w:val="BodyText"/>
        <w:rPr>
          <w:rFonts w:ascii="Liberation Serif" w:hAnsi="Liberation Serif"/>
        </w:rPr>
      </w:pPr>
      <w:r>
        <w:rPr>
          <w:rFonts w:ascii="Liberation Serif" w:hAnsi="Liberation Serif"/>
        </w:rPr>
        <w:t>This study has several important limitations. First, we lacked granular data on critical confounders such as specific mass effect trajectories, degree of midline shift, hydrocephalus, and explicit family preferences. These unmeasured clinical nuances are primary drivers of surgical decision-making and could independently influence both perceived candidacy and outcomes. Second, we relied on hemispheric laterality as an imperfect proxy for true language dominance; because handedness data were unavailable, the expected 5–10% of patients with atypical dominance likely introduced non-differential misclassification, biasing our estimates toward the null. Third, absolute surgical event rates in this cohort were relatively low. Consequently, it is unclear if these associations are transportable to contemporary, unselected ICH populations or to patients with moderate-to-severe ICH who possess immediate indications for emergent surgery. Finally, attitudes toward disability and the frameworks used for shared decision-making carry significant cultural nuance, and our findings—derived primarily from cohorts in the United States—may not generalize across diverse global and socioeconomic settings.</w:t>
      </w:r>
    </w:p>
    <w:p>
      <w:pPr>
        <w:pStyle w:val="BodyText"/>
        <w:rPr>
          <w:rFonts w:ascii="Liberation Serif" w:hAnsi="Liberation Serif"/>
        </w:rPr>
      </w:pPr>
      <w:r>
        <w:rPr>
          <w:rFonts w:ascii="Liberation Serif" w:hAnsi="Liberation Serif"/>
        </w:rPr>
        <w:t>With recent randomized trials demonstrating the benefit of hematoma evacuation and decompressive craniectomy in appropriately selected ICH patients</w:t>
      </w:r>
      <w:r>
        <w:rPr>
          <w:rFonts w:ascii="Liberation Serif" w:hAnsi="Liberation Serif"/>
          <w:vertAlign w:val="superscript"/>
        </w:rPr>
        <w:t>3,4</w:t>
      </w:r>
      <w:r>
        <w:rPr>
          <w:rFonts w:ascii="Liberation Serif" w:hAnsi="Liberation Serif"/>
        </w:rPr>
        <w:t>, understanding the specific drivers of discretionary surgical decisions is increasingly critical. Future research should prospectively investigate the precise clinical criteria used to determine surgical candidacy, while also exploring the details of prognostic framing and shared decision-making across varying cultural contexts to ensure equitable and evidence-based neurosurgical care.</w:t>
      </w:r>
      <w:bookmarkEnd w:id="16"/>
    </w:p>
    <w:p>
      <w:pPr>
        <w:pStyle w:val="Heading2"/>
        <w:rPr>
          <w:rFonts w:ascii="Liberation Serif" w:hAnsi="Liberation Serif"/>
        </w:rPr>
      </w:pPr>
      <w:bookmarkStart w:id="17" w:name="conclusions"/>
      <w:r>
        <w:rPr>
          <w:rFonts w:ascii="Liberation Serif" w:hAnsi="Liberation Serif"/>
        </w:rPr>
        <w:t>Conclusions</w:t>
      </w:r>
    </w:p>
    <w:p>
      <w:pPr>
        <w:pStyle w:val="FirstParagraph"/>
        <w:rPr>
          <w:rFonts w:ascii="Liberation Serif" w:hAnsi="Liberation Serif"/>
        </w:rPr>
      </w:pPr>
      <w:r>
        <w:rPr>
          <w:rFonts w:ascii="Liberation Serif" w:hAnsi="Liberation Serif"/>
        </w:rPr>
        <w:t>In this post-hoc observational analysis, right hemispheric ICH was associated with a higher likelihood of neurosurgical intervention compared to left hemispheric ICH. However, 90-day functional outcomes were similar across hemispheres. While these findings highlight a laterality-associated variation in neurosurgical intervention, residual confounding from unmeasured anatomical severity and family preferences cannot be excluded. Future prospective studies are needed to delineate the explicit clinical and prognostic drivers of surgical decision-making to optimize treatment allocation in ICH.</w:t>
      </w:r>
    </w:p>
    <w:p>
      <w:pPr>
        <w:pStyle w:val="Normal"/>
        <w:rPr>
          <w:rFonts w:ascii="Liberation Serif" w:hAnsi="Liberation Serif"/>
        </w:rPr>
      </w:pPr>
      <w:r>
        <w:rPr>
          <w:rFonts w:ascii="Liberation Serif" w:hAnsi="Liberation Serif"/>
        </w:rPr>
      </w:r>
      <w:bookmarkEnd w:id="17"/>
      <w:r>
        <w:br w:type="page"/>
      </w:r>
    </w:p>
    <w:p>
      <w:pPr>
        <w:pStyle w:val="Heading2"/>
        <w:spacing w:before="0" w:after="80"/>
        <w:rPr>
          <w:rFonts w:ascii="Liberation Serif" w:hAnsi="Liberation Serif"/>
        </w:rPr>
      </w:pPr>
      <w:bookmarkStart w:id="18" w:name="acknowledgments"/>
      <w:r>
        <w:rPr>
          <w:rFonts w:ascii="Liberation Serif" w:hAnsi="Liberation Serif"/>
        </w:rPr>
        <w:t>Acknowledgments</w:t>
      </w:r>
    </w:p>
    <w:p>
      <w:pPr>
        <w:pStyle w:val="FirstParagraph"/>
        <w:rPr>
          <w:rFonts w:ascii="Liberation Serif" w:hAnsi="Liberation Serif"/>
        </w:rPr>
      </w:pPr>
      <w:r>
        <w:rPr>
          <w:rFonts w:ascii="Liberation Serif" w:hAnsi="Liberation Serif"/>
          <w:b/>
          <w:bCs/>
        </w:rPr>
        <w:t>Funding/support</w:t>
      </w:r>
      <w:r>
        <w:rPr>
          <w:rFonts w:ascii="Liberation Serif" w:hAnsi="Liberation Serif"/>
        </w:rPr>
        <w:t>: The ATACH-2 clinical trial and ERICH prospective observational study were funded by the National Institute of Neurological Disorders and Stroke (NINDS).</w:t>
      </w:r>
    </w:p>
    <w:p>
      <w:pPr>
        <w:pStyle w:val="BodyText"/>
        <w:rPr>
          <w:rFonts w:ascii="Liberation Serif" w:hAnsi="Liberation Serif"/>
        </w:rPr>
      </w:pPr>
      <w:r>
        <w:rPr>
          <w:rFonts w:ascii="Liberation Serif" w:hAnsi="Liberation Serif"/>
          <w:b/>
          <w:bCs/>
        </w:rPr>
        <w:t>Role of the Funder/Sponsor</w:t>
      </w:r>
      <w:r>
        <w:rPr>
          <w:rFonts w:ascii="Liberation Serif" w:hAnsi="Liberation Serif"/>
        </w:rPr>
        <w:t>: The study was supported in part by grant 5U01NS062091, NINDS and grant 5U01NS069763, NINDS. The sponsor had no role in the design and conduct of the current study.</w:t>
      </w:r>
    </w:p>
    <w:p>
      <w:pPr>
        <w:pStyle w:val="BodyText"/>
        <w:rPr>
          <w:rFonts w:ascii="Liberation Serif" w:hAnsi="Liberation Serif"/>
        </w:rPr>
      </w:pPr>
      <w:r>
        <w:rPr>
          <w:rFonts w:ascii="Liberation Serif" w:hAnsi="Liberation Serif"/>
          <w:b/>
          <w:bCs/>
        </w:rPr>
        <w:t>Conflict of Interest Disclosures</w:t>
      </w:r>
      <w:r>
        <w:rPr>
          <w:rFonts w:ascii="Liberation Serif" w:hAnsi="Liberation Serif"/>
        </w:rPr>
        <w:t>: Dr. Magun discloses being a shareholder in Inovio Pharmaceuticals and StageZero Life Sciences.</w:t>
      </w:r>
    </w:p>
    <w:p>
      <w:pPr>
        <w:pStyle w:val="BodyText"/>
        <w:rPr>
          <w:rFonts w:ascii="Liberation Serif" w:hAnsi="Liberation Serif"/>
        </w:rPr>
      </w:pPr>
      <w:r>
        <w:rPr>
          <w:rFonts w:ascii="Liberation Serif" w:hAnsi="Liberation Serif"/>
          <w:b/>
          <w:bCs/>
        </w:rPr>
        <w:t>Additional Contributions</w:t>
      </w:r>
      <w:r>
        <w:rPr>
          <w:rFonts w:ascii="Liberation Serif" w:hAnsi="Liberation Serif"/>
        </w:rPr>
        <w:t>: We thank all investigators for their efforts in conducting the ATACH-2 trial and ERICH study and thank all study participants for enrolling.</w:t>
      </w:r>
    </w:p>
    <w:p>
      <w:pPr>
        <w:pStyle w:val="Normal"/>
        <w:rPr>
          <w:rFonts w:ascii="Liberation Serif" w:hAnsi="Liberation Serif"/>
        </w:rPr>
      </w:pPr>
      <w:r>
        <w:rPr>
          <w:rFonts w:ascii="Liberation Serif" w:hAnsi="Liberation Serif"/>
        </w:rPr>
      </w:r>
      <w:bookmarkEnd w:id="18"/>
      <w:r>
        <w:br w:type="page"/>
      </w:r>
    </w:p>
    <w:p>
      <w:pPr>
        <w:pStyle w:val="Heading2"/>
        <w:spacing w:before="0" w:after="80"/>
        <w:rPr>
          <w:rFonts w:ascii="Liberation Serif" w:hAnsi="Liberation Serif"/>
        </w:rPr>
      </w:pPr>
      <w:bookmarkStart w:id="19" w:name="references"/>
      <w:r>
        <w:rPr>
          <w:rFonts w:ascii="Liberation Serif" w:hAnsi="Liberation Serif"/>
        </w:rPr>
        <w:t>References</w:t>
      </w:r>
    </w:p>
    <w:p>
      <w:pPr>
        <w:pStyle w:val="Bibliography"/>
        <w:rPr/>
      </w:pPr>
      <w:bookmarkStart w:id="20" w:name="refs"/>
      <w:bookmarkStart w:id="21" w:name="ref-hemphillICHScoreSimple2001"/>
      <w:r>
        <w:rPr>
          <w:rFonts w:ascii="Liberation Serif" w:hAnsi="Liberation Serif"/>
        </w:rPr>
        <w:t xml:space="preserve">1. </w:t>
        <w:tab/>
        <w:t xml:space="preserve">Hemphill JC, Bonovich DC, Besmertis L, Manley GT, Johnston SC. </w:t>
      </w:r>
      <w:hyperlink r:id="rId4">
        <w:r>
          <w:rPr>
            <w:rStyle w:val="Hyperlink"/>
            <w:rFonts w:ascii="Liberation Serif" w:hAnsi="Liberation Serif"/>
          </w:rPr>
          <w:t>The ICH Score: A Simple, Reliable Grading Scale for Intracerebral Hemorrhage</w:t>
        </w:r>
      </w:hyperlink>
      <w:r>
        <w:rPr>
          <w:rFonts w:ascii="Liberation Serif" w:hAnsi="Liberation Serif"/>
        </w:rPr>
        <w:t xml:space="preserve">. </w:t>
      </w:r>
      <w:r>
        <w:rPr>
          <w:rFonts w:ascii="Liberation Serif" w:hAnsi="Liberation Serif"/>
          <w:i/>
          <w:iCs/>
        </w:rPr>
        <w:t>Stroke</w:t>
      </w:r>
      <w:r>
        <w:rPr>
          <w:rFonts w:ascii="Liberation Serif" w:hAnsi="Liberation Serif"/>
        </w:rPr>
        <w:t xml:space="preserve">. 2001;32:891–897. </w:t>
      </w:r>
      <w:bookmarkEnd w:id="21"/>
    </w:p>
    <w:p>
      <w:pPr>
        <w:pStyle w:val="Bibliography"/>
        <w:rPr/>
      </w:pPr>
      <w:bookmarkStart w:id="22" w:name="Xb1ab0250ddbe95fd4f2ad9af76384f9c74d3ea6"/>
      <w:r>
        <w:rPr>
          <w:rFonts w:ascii="Liberation Serif" w:hAnsi="Liberation Serif"/>
        </w:rPr>
        <w:t xml:space="preserve">2. </w:t>
        <w:tab/>
        <w:t xml:space="preserve">Sheth KN. </w:t>
      </w:r>
      <w:hyperlink r:id="rId5">
        <w:r>
          <w:rPr>
            <w:rStyle w:val="Hyperlink"/>
            <w:rFonts w:ascii="Liberation Serif" w:hAnsi="Liberation Serif"/>
          </w:rPr>
          <w:t>Spontaneous Intracerebral Hemorrhage</w:t>
        </w:r>
      </w:hyperlink>
      <w:r>
        <w:rPr>
          <w:rFonts w:ascii="Liberation Serif" w:hAnsi="Liberation Serif"/>
        </w:rPr>
        <w:t xml:space="preserve">. </w:t>
      </w:r>
      <w:r>
        <w:rPr>
          <w:rFonts w:ascii="Liberation Serif" w:hAnsi="Liberation Serif"/>
          <w:i/>
          <w:iCs/>
        </w:rPr>
        <w:t>New England Journal of Medicine</w:t>
      </w:r>
      <w:r>
        <w:rPr>
          <w:rFonts w:ascii="Liberation Serif" w:hAnsi="Liberation Serif"/>
        </w:rPr>
        <w:t xml:space="preserve">. 2022;387:1589–1596. </w:t>
      </w:r>
      <w:bookmarkEnd w:id="22"/>
    </w:p>
    <w:p>
      <w:pPr>
        <w:pStyle w:val="Bibliography"/>
        <w:rPr/>
      </w:pPr>
      <w:bookmarkStart w:id="23" w:name="ref-pradillaTrialEarlyMinimally2024"/>
      <w:r>
        <w:rPr>
          <w:rFonts w:ascii="Liberation Serif" w:hAnsi="Liberation Serif"/>
        </w:rPr>
        <w:t xml:space="preserve">3. </w:t>
        <w:tab/>
        <w:t xml:space="preserve">Pradilla G, Ratcliff JJ, Hall AJ, Saville BR, Allen JW, Paulon G, McGlothlin A, Lewis RJ, Fitzgerald M, Caveney AF, et al. </w:t>
      </w:r>
      <w:hyperlink r:id="rId6">
        <w:r>
          <w:rPr>
            <w:rStyle w:val="Hyperlink"/>
            <w:rFonts w:ascii="Liberation Serif" w:hAnsi="Liberation Serif"/>
          </w:rPr>
          <w:t>Trial of Early Minimally Invasive Removal of Intracerebral Hemorrhage</w:t>
        </w:r>
      </w:hyperlink>
      <w:r>
        <w:rPr>
          <w:rFonts w:ascii="Liberation Serif" w:hAnsi="Liberation Serif"/>
        </w:rPr>
        <w:t xml:space="preserve">. </w:t>
      </w:r>
      <w:r>
        <w:rPr>
          <w:rFonts w:ascii="Liberation Serif" w:hAnsi="Liberation Serif"/>
          <w:i/>
          <w:iCs/>
        </w:rPr>
        <w:t>New England Journal of Medicine</w:t>
      </w:r>
      <w:r>
        <w:rPr>
          <w:rFonts w:ascii="Liberation Serif" w:hAnsi="Liberation Serif"/>
        </w:rPr>
        <w:t xml:space="preserve">. 2024;390:1277–1289. </w:t>
      </w:r>
      <w:bookmarkEnd w:id="23"/>
    </w:p>
    <w:p>
      <w:pPr>
        <w:pStyle w:val="Bibliography"/>
        <w:rPr/>
      </w:pPr>
      <w:bookmarkStart w:id="24" w:name="ref-bakoMinimallyInvasiveSurgery2023"/>
      <w:r>
        <w:rPr>
          <w:rFonts w:ascii="Liberation Serif" w:hAnsi="Liberation Serif"/>
        </w:rPr>
        <w:t xml:space="preserve">4. </w:t>
        <w:tab/>
        <w:t xml:space="preserve">Bako AT, Potter T, Pan AP, Tannous J, Britz G, Ziai WC, Awad I, Hanley D, Vahidy FS. </w:t>
      </w:r>
      <w:hyperlink r:id="rId7">
        <w:r>
          <w:rPr>
            <w:rStyle w:val="Hyperlink"/>
            <w:rFonts w:ascii="Liberation Serif" w:hAnsi="Liberation Serif"/>
          </w:rPr>
          <w:t>Minimally Invasive Surgery With Thrombolysis for Intracerebral Hemorrhage Evacuation</w:t>
        </w:r>
      </w:hyperlink>
      <w:r>
        <w:rPr>
          <w:rFonts w:ascii="Liberation Serif" w:hAnsi="Liberation Serif"/>
        </w:rPr>
        <w:t xml:space="preserve">. </w:t>
      </w:r>
      <w:r>
        <w:rPr>
          <w:rFonts w:ascii="Liberation Serif" w:hAnsi="Liberation Serif"/>
          <w:i/>
          <w:iCs/>
        </w:rPr>
        <w:t>Neurology</w:t>
      </w:r>
      <w:r>
        <w:rPr>
          <w:rFonts w:ascii="Liberation Serif" w:hAnsi="Liberation Serif"/>
        </w:rPr>
        <w:t xml:space="preserve">. 2023;101:e1614–e1622. </w:t>
      </w:r>
      <w:bookmarkEnd w:id="24"/>
    </w:p>
    <w:p>
      <w:pPr>
        <w:pStyle w:val="Bibliography"/>
        <w:rPr/>
      </w:pPr>
      <w:bookmarkStart w:id="25" w:name="ref-greenberg2022GuidelineManagement2022"/>
      <w:r>
        <w:rPr>
          <w:rFonts w:ascii="Liberation Serif" w:hAnsi="Liberation Serif"/>
        </w:rPr>
        <w:t xml:space="preserve">5. </w:t>
        <w:tab/>
        <w:t xml:space="preserve">Greenberg SM, Ziai WC, Cordonnier C, Dowlatshahi D, Francis B, Goldstein JN, Hemphill JC, Johnson R, Keigher KM, Mack WJ, et al. </w:t>
      </w:r>
      <w:hyperlink r:id="rId8">
        <w:r>
          <w:rPr>
            <w:rStyle w:val="Hyperlink"/>
            <w:rFonts w:ascii="Liberation Serif" w:hAnsi="Liberation Serif"/>
          </w:rPr>
          <w:t>2022 Guideline for the Management of Patients With Spontaneous Intracerebral Hemorrhage: A Guideline From the American Heart Association/American Stroke Association</w:t>
        </w:r>
      </w:hyperlink>
      <w:r>
        <w:rPr>
          <w:rFonts w:ascii="Liberation Serif" w:hAnsi="Liberation Serif"/>
        </w:rPr>
        <w:t xml:space="preserve">. </w:t>
      </w:r>
      <w:r>
        <w:rPr>
          <w:rFonts w:ascii="Liberation Serif" w:hAnsi="Liberation Serif"/>
          <w:i/>
          <w:iCs/>
        </w:rPr>
        <w:t>Stroke</w:t>
      </w:r>
      <w:r>
        <w:rPr>
          <w:rFonts w:ascii="Liberation Serif" w:hAnsi="Liberation Serif"/>
        </w:rPr>
        <w:t xml:space="preserve">. 2022;53. </w:t>
      </w:r>
      <w:bookmarkEnd w:id="25"/>
    </w:p>
    <w:p>
      <w:pPr>
        <w:pStyle w:val="Bibliography"/>
        <w:rPr/>
      </w:pPr>
      <w:bookmarkStart w:id="26" w:name="ref-dileggeImpactLesionSide2005"/>
      <w:r>
        <w:rPr>
          <w:rFonts w:ascii="Liberation Serif" w:hAnsi="Liberation Serif"/>
        </w:rPr>
        <w:t xml:space="preserve">6. </w:t>
        <w:tab/>
        <w:t xml:space="preserve">Di Legge S, Fang J, Saposnik G, Hachinski V. </w:t>
      </w:r>
      <w:hyperlink r:id="rId9">
        <w:r>
          <w:rPr>
            <w:rStyle w:val="Hyperlink"/>
            <w:rFonts w:ascii="Liberation Serif" w:hAnsi="Liberation Serif"/>
          </w:rPr>
          <w:t>The impact of lesion side on acute stroke treatment</w:t>
        </w:r>
      </w:hyperlink>
      <w:r>
        <w:rPr>
          <w:rFonts w:ascii="Liberation Serif" w:hAnsi="Liberation Serif"/>
        </w:rPr>
        <w:t xml:space="preserve">. </w:t>
      </w:r>
      <w:r>
        <w:rPr>
          <w:rFonts w:ascii="Liberation Serif" w:hAnsi="Liberation Serif"/>
          <w:i/>
          <w:iCs/>
        </w:rPr>
        <w:t>Neurology</w:t>
      </w:r>
      <w:r>
        <w:rPr>
          <w:rFonts w:ascii="Liberation Serif" w:hAnsi="Liberation Serif"/>
        </w:rPr>
        <w:t xml:space="preserve">. 2005;65:81–86. </w:t>
      </w:r>
      <w:bookmarkEnd w:id="26"/>
    </w:p>
    <w:p>
      <w:pPr>
        <w:pStyle w:val="Bibliography"/>
        <w:rPr/>
      </w:pPr>
      <w:bookmarkStart w:id="27" w:name="ref-foerchDifferenceRecognitionRight2005"/>
      <w:r>
        <w:rPr>
          <w:rFonts w:ascii="Liberation Serif" w:hAnsi="Liberation Serif"/>
        </w:rPr>
        <w:t xml:space="preserve">7. </w:t>
        <w:tab/>
        <w:t xml:space="preserve">Foerch C, Misselwitz B, Sitzer M, Berger K, Steinmetz H, Neumann-Haefelin T. </w:t>
      </w:r>
      <w:hyperlink r:id="rId10">
        <w:r>
          <w:rPr>
            <w:rStyle w:val="Hyperlink"/>
            <w:rFonts w:ascii="Liberation Serif" w:hAnsi="Liberation Serif"/>
          </w:rPr>
          <w:t>Difference in recognition of right and left hemispheric stroke</w:t>
        </w:r>
      </w:hyperlink>
      <w:r>
        <w:rPr>
          <w:rFonts w:ascii="Liberation Serif" w:hAnsi="Liberation Serif"/>
        </w:rPr>
        <w:t xml:space="preserve">. </w:t>
      </w:r>
      <w:r>
        <w:rPr>
          <w:rFonts w:ascii="Liberation Serif" w:hAnsi="Liberation Serif"/>
          <w:i/>
          <w:iCs/>
        </w:rPr>
        <w:t>The Lancet</w:t>
      </w:r>
      <w:r>
        <w:rPr>
          <w:rFonts w:ascii="Liberation Serif" w:hAnsi="Liberation Serif"/>
        </w:rPr>
        <w:t xml:space="preserve">. 2005;366:392–393. </w:t>
      </w:r>
      <w:bookmarkEnd w:id="27"/>
    </w:p>
    <w:p>
      <w:pPr>
        <w:pStyle w:val="Bibliography"/>
        <w:rPr/>
      </w:pPr>
      <w:bookmarkStart w:id="28" w:name="ref-portegiesLeftsidedStrokesAre2015"/>
      <w:r>
        <w:rPr>
          <w:rFonts w:ascii="Liberation Serif" w:hAnsi="Liberation Serif"/>
        </w:rPr>
        <w:t xml:space="preserve">8. </w:t>
        <w:tab/>
        <w:t xml:space="preserve">Portegies MLP, Selwaness M, Hofman A, Koudstaal PJ, Vernooij MW, Ikram MA. </w:t>
      </w:r>
      <w:hyperlink r:id="rId11">
        <w:r>
          <w:rPr>
            <w:rStyle w:val="Hyperlink"/>
            <w:rFonts w:ascii="Liberation Serif" w:hAnsi="Liberation Serif"/>
          </w:rPr>
          <w:t>Left-sided strokes are more often recognized than right-sided strokes: The Rotterdam study</w:t>
        </w:r>
      </w:hyperlink>
      <w:r>
        <w:rPr>
          <w:rFonts w:ascii="Liberation Serif" w:hAnsi="Liberation Serif"/>
        </w:rPr>
        <w:t xml:space="preserve">. </w:t>
      </w:r>
      <w:r>
        <w:rPr>
          <w:rFonts w:ascii="Liberation Serif" w:hAnsi="Liberation Serif"/>
          <w:i/>
          <w:iCs/>
        </w:rPr>
        <w:t>Stroke</w:t>
      </w:r>
      <w:r>
        <w:rPr>
          <w:rFonts w:ascii="Liberation Serif" w:hAnsi="Liberation Serif"/>
        </w:rPr>
        <w:t xml:space="preserve">. 2015;46:252–254. </w:t>
      </w:r>
      <w:bookmarkEnd w:id="28"/>
    </w:p>
    <w:p>
      <w:pPr>
        <w:pStyle w:val="Bibliography"/>
        <w:rPr/>
      </w:pPr>
      <w:bookmarkStart w:id="29" w:name="ref-liStrokeLateralizationLarge2021"/>
      <w:r>
        <w:rPr>
          <w:rFonts w:ascii="Liberation Serif" w:hAnsi="Liberation Serif"/>
        </w:rPr>
        <w:t xml:space="preserve">9. </w:t>
        <w:tab/>
        <w:t xml:space="preserve">Li J, Zhang P, Liu Y, Chen W, Yi X, Wang C. </w:t>
      </w:r>
      <w:hyperlink r:id="rId12">
        <w:r>
          <w:rPr>
            <w:rStyle w:val="Hyperlink"/>
            <w:rFonts w:ascii="Liberation Serif" w:hAnsi="Liberation Serif"/>
          </w:rPr>
          <w:t>Stroke Lateralization in Large Hemisphere Infarctions: Characteristics, Stroke-Related Complications, and Outcomes</w:t>
        </w:r>
      </w:hyperlink>
      <w:r>
        <w:rPr>
          <w:rFonts w:ascii="Liberation Serif" w:hAnsi="Liberation Serif"/>
        </w:rPr>
        <w:t xml:space="preserve">. </w:t>
      </w:r>
      <w:r>
        <w:rPr>
          <w:rFonts w:ascii="Liberation Serif" w:hAnsi="Liberation Serif"/>
          <w:i/>
          <w:iCs/>
        </w:rPr>
        <w:t>Frontiers in Neurology</w:t>
      </w:r>
      <w:r>
        <w:rPr>
          <w:rFonts w:ascii="Liberation Serif" w:hAnsi="Liberation Serif"/>
        </w:rPr>
        <w:t xml:space="preserve">. 2021;12:774247. </w:t>
      </w:r>
      <w:bookmarkEnd w:id="29"/>
    </w:p>
    <w:p>
      <w:pPr>
        <w:pStyle w:val="Bibliography"/>
        <w:rPr/>
      </w:pPr>
      <w:bookmarkStart w:id="30" w:name="X838bc231b1872fcffc9183d1e0517a825b33557"/>
      <w:r>
        <w:rPr>
          <w:rFonts w:ascii="Liberation Serif" w:hAnsi="Liberation Serif"/>
        </w:rPr>
        <w:t xml:space="preserve">10. </w:t>
        <w:tab/>
        <w:t xml:space="preserve">Deb-Chatterji M, Flottmann F, Meyer L, Brekenfeld C, Fiehler J, Gerloff C, Thomalla G, the GSR-ET-Investigators, Gerloff C, Fiehler J, et al. </w:t>
      </w:r>
      <w:hyperlink r:id="rId13">
        <w:r>
          <w:rPr>
            <w:rStyle w:val="Hyperlink"/>
            <w:rFonts w:ascii="Liberation Serif" w:hAnsi="Liberation Serif"/>
          </w:rPr>
          <w:t>Side matters: Differences in functional outcome and quality of life after thrombectomy in left and right hemispheric stroke</w:t>
        </w:r>
      </w:hyperlink>
      <w:r>
        <w:rPr>
          <w:rFonts w:ascii="Liberation Serif" w:hAnsi="Liberation Serif"/>
        </w:rPr>
        <w:t xml:space="preserve">. </w:t>
      </w:r>
      <w:r>
        <w:rPr>
          <w:rFonts w:ascii="Liberation Serif" w:hAnsi="Liberation Serif"/>
          <w:i/>
          <w:iCs/>
        </w:rPr>
        <w:t>Neurological Research and Practice</w:t>
      </w:r>
      <w:r>
        <w:rPr>
          <w:rFonts w:ascii="Liberation Serif" w:hAnsi="Liberation Serif"/>
        </w:rPr>
        <w:t xml:space="preserve">. 2022;4:58. </w:t>
      </w:r>
      <w:bookmarkEnd w:id="30"/>
    </w:p>
    <w:p>
      <w:pPr>
        <w:pStyle w:val="Bibliography"/>
        <w:rPr/>
      </w:pPr>
      <w:bookmarkStart w:id="31" w:name="ref-leggeNeglectingDifference2006"/>
      <w:r>
        <w:rPr>
          <w:rFonts w:ascii="Liberation Serif" w:hAnsi="Liberation Serif"/>
        </w:rPr>
        <w:t xml:space="preserve">11. </w:t>
        <w:tab/>
        <w:t xml:space="preserve">Legge SD, Saposnik G, Nilanont Y, Hachinski V. </w:t>
      </w:r>
      <w:hyperlink r:id="rId14">
        <w:r>
          <w:rPr>
            <w:rStyle w:val="Hyperlink"/>
            <w:rFonts w:ascii="Liberation Serif" w:hAnsi="Liberation Serif"/>
          </w:rPr>
          <w:t>Neglecting the Difference</w:t>
        </w:r>
      </w:hyperlink>
      <w:r>
        <w:rPr>
          <w:rFonts w:ascii="Liberation Serif" w:hAnsi="Liberation Serif"/>
        </w:rPr>
        <w:t xml:space="preserve">. </w:t>
      </w:r>
      <w:r>
        <w:rPr>
          <w:rFonts w:ascii="Liberation Serif" w:hAnsi="Liberation Serif"/>
          <w:i/>
          <w:iCs/>
        </w:rPr>
        <w:t>Stroke</w:t>
      </w:r>
      <w:r>
        <w:rPr>
          <w:rFonts w:ascii="Liberation Serif" w:hAnsi="Liberation Serif"/>
        </w:rPr>
        <w:t xml:space="preserve">. 2006;37:2066–2069. </w:t>
      </w:r>
      <w:bookmarkEnd w:id="31"/>
    </w:p>
    <w:p>
      <w:pPr>
        <w:pStyle w:val="Bibliography"/>
        <w:rPr/>
      </w:pPr>
      <w:bookmarkStart w:id="32" w:name="X3c0b23a0f7bdee15362bbd61a2add3aa865ea88"/>
      <w:r>
        <w:rPr>
          <w:rFonts w:ascii="Liberation Serif" w:hAnsi="Liberation Serif"/>
        </w:rPr>
        <w:t xml:space="preserve">12. </w:t>
        <w:tab/>
        <w:t xml:space="preserve">Beuscher VD, Kuramatsu JB, Gerner ST, Köhn J, Lücking H, Kloska SP, Huttner HB. </w:t>
      </w:r>
      <w:hyperlink r:id="rId15">
        <w:r>
          <w:rPr>
            <w:rStyle w:val="Hyperlink"/>
            <w:rFonts w:ascii="Liberation Serif" w:hAnsi="Liberation Serif"/>
          </w:rPr>
          <w:t>Functional Long-Term Outcome after Left- versus Right-Sided Intracerebral Hemorrhage</w:t>
        </w:r>
      </w:hyperlink>
      <w:r>
        <w:rPr>
          <w:rFonts w:ascii="Liberation Serif" w:hAnsi="Liberation Serif"/>
        </w:rPr>
        <w:t xml:space="preserve">. </w:t>
      </w:r>
      <w:r>
        <w:rPr>
          <w:rFonts w:ascii="Liberation Serif" w:hAnsi="Liberation Serif"/>
          <w:i/>
          <w:iCs/>
        </w:rPr>
        <w:t>Cerebrovascular Diseases</w:t>
      </w:r>
      <w:r>
        <w:rPr>
          <w:rFonts w:ascii="Liberation Serif" w:hAnsi="Liberation Serif"/>
        </w:rPr>
        <w:t xml:space="preserve">. 2017;43:117–123. </w:t>
      </w:r>
      <w:bookmarkEnd w:id="32"/>
    </w:p>
    <w:p>
      <w:pPr>
        <w:pStyle w:val="Bibliography"/>
        <w:rPr/>
      </w:pPr>
      <w:bookmarkStart w:id="33" w:name="ref-satoHigherMortalityPatients2015"/>
      <w:r>
        <w:rPr>
          <w:rFonts w:ascii="Liberation Serif" w:hAnsi="Liberation Serif"/>
        </w:rPr>
        <w:t xml:space="preserve">13. </w:t>
        <w:tab/>
        <w:t xml:space="preserve">Sato S, Heeley E, Arima H, Delcourt C, Hirakawa Y, Pamidimukkala V, Li Z, Tao Q, Xu Y, Hennerici MG, et al. </w:t>
      </w:r>
      <w:hyperlink r:id="rId16">
        <w:r>
          <w:rPr>
            <w:rStyle w:val="Hyperlink"/>
            <w:rFonts w:ascii="Liberation Serif" w:hAnsi="Liberation Serif"/>
          </w:rPr>
          <w:t>Higher mortality in patients with right hemispheric intracerebral haemorrhage: INTERACT1 and 2</w:t>
        </w:r>
      </w:hyperlink>
      <w:r>
        <w:rPr>
          <w:rFonts w:ascii="Liberation Serif" w:hAnsi="Liberation Serif"/>
        </w:rPr>
        <w:t xml:space="preserve">. </w:t>
      </w:r>
      <w:r>
        <w:rPr>
          <w:rFonts w:ascii="Liberation Serif" w:hAnsi="Liberation Serif"/>
          <w:i/>
          <w:iCs/>
        </w:rPr>
        <w:t>Journal of Neurology, Neurosurgery &amp; Psychiatry</w:t>
      </w:r>
      <w:r>
        <w:rPr>
          <w:rFonts w:ascii="Liberation Serif" w:hAnsi="Liberation Serif"/>
        </w:rPr>
        <w:t xml:space="preserve">. 2015;86:1319–1323. </w:t>
      </w:r>
      <w:bookmarkEnd w:id="33"/>
    </w:p>
    <w:p>
      <w:pPr>
        <w:pStyle w:val="Bibliography"/>
        <w:rPr/>
      </w:pPr>
      <w:bookmarkStart w:id="34" w:name="ref-beckDecompressiveCraniectomyBest2024"/>
      <w:r>
        <w:rPr>
          <w:rFonts w:ascii="Liberation Serif" w:hAnsi="Liberation Serif"/>
        </w:rPr>
        <w:t xml:space="preserve">14. </w:t>
        <w:tab/>
        <w:t xml:space="preserve">Beck J, Fung C, Strbian D, Bütikofer L, Z’Graggen WJ, Lang MF, Beyeler S, Gralla J, Ringel F, Schaller K, et al. </w:t>
      </w:r>
      <w:hyperlink r:id="rId17">
        <w:r>
          <w:rPr>
            <w:rStyle w:val="Hyperlink"/>
            <w:rFonts w:ascii="Liberation Serif" w:hAnsi="Liberation Serif"/>
          </w:rPr>
          <w:t>Decompressive craniectomy plus best medical treatment versus best medical treatment alone for spontaneous severe deep supratentorial intracerebral haemorrhage: A randomised controlled clinical trial</w:t>
        </w:r>
      </w:hyperlink>
      <w:r>
        <w:rPr>
          <w:rFonts w:ascii="Liberation Serif" w:hAnsi="Liberation Serif"/>
        </w:rPr>
        <w:t xml:space="preserve">. </w:t>
      </w:r>
      <w:r>
        <w:rPr>
          <w:rFonts w:ascii="Liberation Serif" w:hAnsi="Liberation Serif"/>
          <w:i/>
          <w:iCs/>
        </w:rPr>
        <w:t>The Lancet</w:t>
      </w:r>
      <w:r>
        <w:rPr>
          <w:rFonts w:ascii="Liberation Serif" w:hAnsi="Liberation Serif"/>
        </w:rPr>
        <w:t xml:space="preserve">. 2024;403:2395–2404. </w:t>
      </w:r>
      <w:bookmarkEnd w:id="34"/>
    </w:p>
    <w:p>
      <w:pPr>
        <w:pStyle w:val="Bibliography"/>
        <w:rPr/>
      </w:pPr>
      <w:bookmarkStart w:id="35" w:name="Xdf1490986ecc40ffe04bf933d06d50b5e58e874"/>
      <w:r>
        <w:rPr>
          <w:rFonts w:ascii="Liberation Serif" w:hAnsi="Liberation Serif"/>
        </w:rPr>
        <w:t xml:space="preserve">15. </w:t>
        <w:tab/>
        <w:t xml:space="preserve">Qureshi AI, Palesch YY. </w:t>
      </w:r>
      <w:hyperlink r:id="rId18">
        <w:r>
          <w:rPr>
            <w:rStyle w:val="Hyperlink"/>
            <w:rFonts w:ascii="Liberation Serif" w:hAnsi="Liberation Serif"/>
          </w:rPr>
          <w:t>Antihypertensive Treatment of Acute Cerebral Hemorrhage (ATACH) II: Design, Methods, and Rationale</w:t>
        </w:r>
      </w:hyperlink>
      <w:r>
        <w:rPr>
          <w:rFonts w:ascii="Liberation Serif" w:hAnsi="Liberation Serif"/>
        </w:rPr>
        <w:t xml:space="preserve">. </w:t>
      </w:r>
      <w:r>
        <w:rPr>
          <w:rFonts w:ascii="Liberation Serif" w:hAnsi="Liberation Serif"/>
          <w:i/>
          <w:iCs/>
        </w:rPr>
        <w:t>Neurocritical Care</w:t>
      </w:r>
      <w:r>
        <w:rPr>
          <w:rFonts w:ascii="Liberation Serif" w:hAnsi="Liberation Serif"/>
        </w:rPr>
        <w:t xml:space="preserve">. 2011;15:559–576. </w:t>
      </w:r>
      <w:bookmarkEnd w:id="35"/>
    </w:p>
    <w:p>
      <w:pPr>
        <w:pStyle w:val="Bibliography"/>
        <w:rPr/>
      </w:pPr>
      <w:bookmarkStart w:id="36" w:name="Xe5698a0135fcc3ba325d1733a6b0d2457d0d2c6"/>
      <w:r>
        <w:rPr>
          <w:rFonts w:ascii="Liberation Serif" w:hAnsi="Liberation Serif"/>
        </w:rPr>
        <w:t xml:space="preserve">16. </w:t>
        <w:tab/>
        <w:t xml:space="preserve">Qureshi AI, Palesch YY, Barsan WG, Hanley DF, Hsu CY, Martin RL, Moy CS, Silbergleit R, Steiner T, Suarez JI, et al. </w:t>
      </w:r>
      <w:hyperlink r:id="rId19">
        <w:r>
          <w:rPr>
            <w:rStyle w:val="Hyperlink"/>
            <w:rFonts w:ascii="Liberation Serif" w:hAnsi="Liberation Serif"/>
          </w:rPr>
          <w:t>Intensive Blood-Pressure Lowering in Patients with Acute Cerebral Hemorrhage</w:t>
        </w:r>
      </w:hyperlink>
      <w:r>
        <w:rPr>
          <w:rFonts w:ascii="Liberation Serif" w:hAnsi="Liberation Serif"/>
        </w:rPr>
        <w:t xml:space="preserve">. </w:t>
      </w:r>
      <w:r>
        <w:rPr>
          <w:rFonts w:ascii="Liberation Serif" w:hAnsi="Liberation Serif"/>
          <w:i/>
          <w:iCs/>
        </w:rPr>
        <w:t>New England Journal of Medicine</w:t>
      </w:r>
      <w:r>
        <w:rPr>
          <w:rFonts w:ascii="Liberation Serif" w:hAnsi="Liberation Serif"/>
        </w:rPr>
        <w:t xml:space="preserve">. 2016;375:1033–1043. </w:t>
      </w:r>
      <w:bookmarkEnd w:id="36"/>
    </w:p>
    <w:p>
      <w:pPr>
        <w:pStyle w:val="Bibliography"/>
        <w:rPr/>
      </w:pPr>
      <w:bookmarkStart w:id="37" w:name="ref-wooEthnicRacialVariations2013"/>
      <w:r>
        <w:rPr>
          <w:rFonts w:ascii="Liberation Serif" w:hAnsi="Liberation Serif"/>
        </w:rPr>
        <w:t xml:space="preserve">17. </w:t>
        <w:tab/>
        <w:t xml:space="preserve">Woo D, Rosand J, Kidwell C, McCauley JL, Osborne J, Brown MW, West SE, Rademacher EW, Waddy S, Roberts JN, et al. </w:t>
      </w:r>
      <w:hyperlink r:id="rId20">
        <w:r>
          <w:rPr>
            <w:rStyle w:val="Hyperlink"/>
            <w:rFonts w:ascii="Liberation Serif" w:hAnsi="Liberation Serif"/>
          </w:rPr>
          <w:t>The Ethnic/Racial Variations of Intracerebral Hemorrhage (ERICH) Study Protocol</w:t>
        </w:r>
      </w:hyperlink>
      <w:r>
        <w:rPr>
          <w:rFonts w:ascii="Liberation Serif" w:hAnsi="Liberation Serif"/>
        </w:rPr>
        <w:t xml:space="preserve">. </w:t>
      </w:r>
      <w:r>
        <w:rPr>
          <w:rFonts w:ascii="Liberation Serif" w:hAnsi="Liberation Serif"/>
          <w:i/>
          <w:iCs/>
        </w:rPr>
        <w:t>Stroke</w:t>
      </w:r>
      <w:r>
        <w:rPr>
          <w:rFonts w:ascii="Liberation Serif" w:hAnsi="Liberation Serif"/>
        </w:rPr>
        <w:t xml:space="preserve">. 2013;44. </w:t>
      </w:r>
      <w:bookmarkEnd w:id="37"/>
    </w:p>
    <w:p>
      <w:pPr>
        <w:pStyle w:val="Bibliography"/>
        <w:rPr>
          <w:rFonts w:ascii="Liberation Serif" w:hAnsi="Liberation Serif"/>
        </w:rPr>
      </w:pPr>
      <w:bookmarkStart w:id="38" w:name="ref-dogucuBayesRulesIntroduction2022"/>
      <w:r>
        <w:rPr>
          <w:rFonts w:ascii="Liberation Serif" w:hAnsi="Liberation Serif"/>
        </w:rPr>
        <w:t xml:space="preserve">18. </w:t>
        <w:tab/>
        <w:t xml:space="preserve">Johnson AA, Ott MQ, Dogucu M. Bayes Rules! An Introduction to Applied Bayesian Modeling. 1st ed. CRC Press; 2022. </w:t>
      </w:r>
      <w:bookmarkEnd w:id="38"/>
    </w:p>
    <w:p>
      <w:pPr>
        <w:pStyle w:val="Bibliography"/>
        <w:rPr>
          <w:rFonts w:ascii="Liberation Serif" w:hAnsi="Liberation Serif"/>
        </w:rPr>
      </w:pPr>
      <w:bookmarkStart w:id="39" w:name="X7e5fcb01483c46ceec3804400aa01747d15580c"/>
      <w:r>
        <w:rPr>
          <w:rFonts w:ascii="Liberation Serif" w:hAnsi="Liberation Serif"/>
        </w:rPr>
        <w:t xml:space="preserve">19. </w:t>
        <w:tab/>
        <w:t xml:space="preserve">McElreath R. Statistical Rethinking: A Bayesian Course with Examples in R and STAN. 2nd ed. CRC Press; 2020. </w:t>
      </w:r>
      <w:bookmarkEnd w:id="39"/>
    </w:p>
    <w:p>
      <w:pPr>
        <w:pStyle w:val="Bibliography"/>
        <w:rPr/>
      </w:pPr>
      <w:bookmarkStart w:id="40" w:name="Xfbc06ab4e8a143dd15dec8dfd06cc82cc01ab3c"/>
      <w:r>
        <w:rPr>
          <w:rFonts w:ascii="Liberation Serif" w:hAnsi="Liberation Serif"/>
        </w:rPr>
        <w:t xml:space="preserve">20. </w:t>
        <w:tab/>
        <w:t xml:space="preserve">Kruschke JK. </w:t>
      </w:r>
      <w:hyperlink r:id="rId21">
        <w:r>
          <w:rPr>
            <w:rStyle w:val="Hyperlink"/>
            <w:rFonts w:ascii="Liberation Serif" w:hAnsi="Liberation Serif"/>
          </w:rPr>
          <w:t>Bayesian Analysis Reporting Guidelines</w:t>
        </w:r>
      </w:hyperlink>
      <w:r>
        <w:rPr>
          <w:rFonts w:ascii="Liberation Serif" w:hAnsi="Liberation Serif"/>
        </w:rPr>
        <w:t xml:space="preserve">. </w:t>
      </w:r>
      <w:r>
        <w:rPr>
          <w:rFonts w:ascii="Liberation Serif" w:hAnsi="Liberation Serif"/>
          <w:i/>
          <w:iCs/>
        </w:rPr>
        <w:t>Nature Human Behaviour</w:t>
      </w:r>
      <w:r>
        <w:rPr>
          <w:rFonts w:ascii="Liberation Serif" w:hAnsi="Liberation Serif"/>
        </w:rPr>
        <w:t xml:space="preserve">. 2021;5:1282–1291. </w:t>
      </w:r>
      <w:bookmarkEnd w:id="40"/>
    </w:p>
    <w:p>
      <w:pPr>
        <w:pStyle w:val="Bibliography"/>
        <w:rPr/>
      </w:pPr>
      <w:bookmarkStart w:id="41" w:name="X053f4f5eb0ba24b3cae539729fbebad36013145"/>
      <w:r>
        <w:rPr>
          <w:rFonts w:ascii="Liberation Serif" w:hAnsi="Liberation Serif"/>
        </w:rPr>
        <w:t xml:space="preserve">21. </w:t>
        <w:tab/>
        <w:t xml:space="preserve">Vandenbroucke JP, von Elm E, Altman DG, Gøtzsche PC, Mulrow CD, Pocock SJ, Poole C, Schlesselman JJ, Egger M, STROBE Initiative. </w:t>
      </w:r>
      <w:hyperlink r:id="rId22">
        <w:r>
          <w:rPr>
            <w:rStyle w:val="Hyperlink"/>
            <w:rFonts w:ascii="Liberation Serif" w:hAnsi="Liberation Serif"/>
          </w:rPr>
          <w:t>Strengthening the Reporting of Observational Studies in Epidemiology (STROBE): Explanation and elaboration</w:t>
        </w:r>
      </w:hyperlink>
      <w:r>
        <w:rPr>
          <w:rFonts w:ascii="Liberation Serif" w:hAnsi="Liberation Serif"/>
        </w:rPr>
        <w:t xml:space="preserve">. </w:t>
      </w:r>
      <w:r>
        <w:rPr>
          <w:rFonts w:ascii="Liberation Serif" w:hAnsi="Liberation Serif"/>
          <w:i/>
          <w:iCs/>
        </w:rPr>
        <w:t>PLoS medicine</w:t>
      </w:r>
      <w:r>
        <w:rPr>
          <w:rFonts w:ascii="Liberation Serif" w:hAnsi="Liberation Serif"/>
        </w:rPr>
        <w:t xml:space="preserve">. 2007;4:e297. </w:t>
      </w:r>
      <w:bookmarkEnd w:id="41"/>
    </w:p>
    <w:p>
      <w:pPr>
        <w:pStyle w:val="Bibliography"/>
        <w:rPr/>
      </w:pPr>
      <w:bookmarkStart w:id="42" w:name="Xadd1365c52322e3ad3aed151084109b8ced3dcd"/>
      <w:r>
        <w:rPr>
          <w:rFonts w:ascii="Liberation Serif" w:hAnsi="Liberation Serif"/>
        </w:rPr>
        <w:t xml:space="preserve">22. </w:t>
        <w:tab/>
        <w:t xml:space="preserve">Debertin J, Jurado Vélez JA, Corlin L, Hidalgo B, Murray EJ. </w:t>
      </w:r>
      <w:hyperlink r:id="rId23">
        <w:r>
          <w:rPr>
            <w:rStyle w:val="Hyperlink"/>
            <w:rFonts w:ascii="Liberation Serif" w:hAnsi="Liberation Serif"/>
          </w:rPr>
          <w:t>Synthesizing Subject-matter Expertise for Variable Selection in Causal Effect Estimation: A Case Study</w:t>
        </w:r>
      </w:hyperlink>
      <w:r>
        <w:rPr>
          <w:rFonts w:ascii="Liberation Serif" w:hAnsi="Liberation Serif"/>
        </w:rPr>
        <w:t xml:space="preserve">. </w:t>
      </w:r>
      <w:r>
        <w:rPr>
          <w:rFonts w:ascii="Liberation Serif" w:hAnsi="Liberation Serif"/>
          <w:i/>
          <w:iCs/>
        </w:rPr>
        <w:t>Epidemiology</w:t>
      </w:r>
      <w:r>
        <w:rPr>
          <w:rFonts w:ascii="Liberation Serif" w:hAnsi="Liberation Serif"/>
        </w:rPr>
        <w:t xml:space="preserve">. 2024;35:642. </w:t>
      </w:r>
      <w:bookmarkEnd w:id="42"/>
    </w:p>
    <w:p>
      <w:pPr>
        <w:pStyle w:val="Bibliography"/>
        <w:rPr/>
      </w:pPr>
      <w:bookmarkStart w:id="43" w:name="ref-tennantUseDirectedAcyclic2021"/>
      <w:r>
        <w:rPr>
          <w:rFonts w:ascii="Liberation Serif" w:hAnsi="Liberation Serif"/>
        </w:rPr>
        <w:t xml:space="preserve">23. </w:t>
        <w:tab/>
        <w:t xml:space="preserve">Tennant PWG, Murray EJ, Arnold KF, Berrie L, Fox MP, Gadd SC, Harrison WJ, Keeble C, Ranker LR, Textor J, et al. </w:t>
      </w:r>
      <w:hyperlink r:id="rId24">
        <w:r>
          <w:rPr>
            <w:rStyle w:val="Hyperlink"/>
            <w:rFonts w:ascii="Liberation Serif" w:hAnsi="Liberation Serif"/>
          </w:rPr>
          <w:t>Use of directed acyclic graphs (DAGs) to identify confounders in applied health research: Review and recommendations</w:t>
        </w:r>
      </w:hyperlink>
      <w:r>
        <w:rPr>
          <w:rFonts w:ascii="Liberation Serif" w:hAnsi="Liberation Serif"/>
        </w:rPr>
        <w:t xml:space="preserve">. </w:t>
      </w:r>
      <w:r>
        <w:rPr>
          <w:rFonts w:ascii="Liberation Serif" w:hAnsi="Liberation Serif"/>
          <w:i/>
          <w:iCs/>
        </w:rPr>
        <w:t>International Journal of Epidemiology</w:t>
      </w:r>
      <w:r>
        <w:rPr>
          <w:rFonts w:ascii="Liberation Serif" w:hAnsi="Liberation Serif"/>
        </w:rPr>
        <w:t xml:space="preserve">. 2021;50:620–632. </w:t>
      </w:r>
      <w:bookmarkEnd w:id="43"/>
    </w:p>
    <w:p>
      <w:pPr>
        <w:pStyle w:val="Bibliography"/>
        <w:rPr/>
      </w:pPr>
      <w:bookmarkStart w:id="44" w:name="ref-hernanSpecifyingTargetTrial2016"/>
      <w:r>
        <w:rPr>
          <w:rFonts w:ascii="Liberation Serif" w:hAnsi="Liberation Serif"/>
        </w:rPr>
        <w:t xml:space="preserve">24. </w:t>
        <w:tab/>
        <w:t xml:space="preserve">Hernán MA, Sauer BC, Hernández-Díaz S, Platt R, Shrier I. </w:t>
      </w:r>
      <w:hyperlink r:id="rId25">
        <w:r>
          <w:rPr>
            <w:rStyle w:val="Hyperlink"/>
            <w:rFonts w:ascii="Liberation Serif" w:hAnsi="Liberation Serif"/>
          </w:rPr>
          <w:t>Specifying a target trial prevents immortal time bias and other self-inflicted injuries in observational analyses</w:t>
        </w:r>
      </w:hyperlink>
      <w:r>
        <w:rPr>
          <w:rFonts w:ascii="Liberation Serif" w:hAnsi="Liberation Serif"/>
        </w:rPr>
        <w:t xml:space="preserve">. </w:t>
      </w:r>
      <w:r>
        <w:rPr>
          <w:rFonts w:ascii="Liberation Serif" w:hAnsi="Liberation Serif"/>
          <w:i/>
          <w:iCs/>
        </w:rPr>
        <w:t>Journal of Clinical Epidemiology</w:t>
      </w:r>
      <w:r>
        <w:rPr>
          <w:rFonts w:ascii="Liberation Serif" w:hAnsi="Liberation Serif"/>
        </w:rPr>
        <w:t xml:space="preserve">. 2016;79:70–75. </w:t>
      </w:r>
      <w:bookmarkEnd w:id="44"/>
    </w:p>
    <w:p>
      <w:pPr>
        <w:pStyle w:val="Bibliography"/>
        <w:rPr/>
      </w:pPr>
      <w:bookmarkStart w:id="45" w:name="Xedc2e0f0a31863d3317a2038cd4180ef4585a94"/>
      <w:r>
        <w:rPr>
          <w:rFonts w:ascii="Liberation Serif" w:hAnsi="Liberation Serif"/>
        </w:rPr>
        <w:t xml:space="preserve">25. </w:t>
        <w:tab/>
        <w:t xml:space="preserve">Fink JN, Frampton CM, Lyden P, Lees KR, Virtual International Stroke Trials Archive Investigators. </w:t>
      </w:r>
      <w:hyperlink r:id="rId26">
        <w:r>
          <w:rPr>
            <w:rStyle w:val="Hyperlink"/>
            <w:rFonts w:ascii="Liberation Serif" w:hAnsi="Liberation Serif"/>
          </w:rPr>
          <w:t>Does hemispheric lateralization influence functional and cardiovascular outcomes after stroke?: An analysis of placebo-treated patients from prospective acute stroke trials</w:t>
        </w:r>
      </w:hyperlink>
      <w:r>
        <w:rPr>
          <w:rFonts w:ascii="Liberation Serif" w:hAnsi="Liberation Serif"/>
        </w:rPr>
        <w:t xml:space="preserve">. </w:t>
      </w:r>
      <w:r>
        <w:rPr>
          <w:rFonts w:ascii="Liberation Serif" w:hAnsi="Liberation Serif"/>
          <w:i/>
          <w:iCs/>
        </w:rPr>
        <w:t>Stroke</w:t>
      </w:r>
      <w:r>
        <w:rPr>
          <w:rFonts w:ascii="Liberation Serif" w:hAnsi="Liberation Serif"/>
        </w:rPr>
        <w:t xml:space="preserve">. 2008;39:3335–3340. </w:t>
      </w:r>
      <w:bookmarkEnd w:id="45"/>
    </w:p>
    <w:p>
      <w:pPr>
        <w:pStyle w:val="Bibliography"/>
        <w:rPr/>
      </w:pPr>
      <w:bookmarkStart w:id="46" w:name="ref-almekhlafiStrokeLateralityDid2019"/>
      <w:r>
        <w:rPr>
          <w:rFonts w:ascii="Liberation Serif" w:hAnsi="Liberation Serif"/>
        </w:rPr>
        <w:t xml:space="preserve">26. </w:t>
        <w:tab/>
        <w:t xml:space="preserve">Almekhlafi MA, Hill MD, Roos YM, Campbell BCV, Muir KW, Demchuk AM, Bracard S, Gomis M, Guillemin F, Jovin TG, et al. </w:t>
      </w:r>
      <w:hyperlink r:id="rId27">
        <w:r>
          <w:rPr>
            <w:rStyle w:val="Hyperlink"/>
            <w:rFonts w:ascii="Liberation Serif" w:hAnsi="Liberation Serif"/>
          </w:rPr>
          <w:t>Stroke Laterality Did Not Modify Outcomes in the HERMES Meta-Analysis of Individual Patient Data of 7 Trials</w:t>
        </w:r>
      </w:hyperlink>
      <w:r>
        <w:rPr>
          <w:rFonts w:ascii="Liberation Serif" w:hAnsi="Liberation Serif"/>
        </w:rPr>
        <w:t xml:space="preserve">. </w:t>
      </w:r>
      <w:r>
        <w:rPr>
          <w:rFonts w:ascii="Liberation Serif" w:hAnsi="Liberation Serif"/>
          <w:i/>
          <w:iCs/>
        </w:rPr>
        <w:t>Stroke</w:t>
      </w:r>
      <w:r>
        <w:rPr>
          <w:rFonts w:ascii="Liberation Serif" w:hAnsi="Liberation Serif"/>
        </w:rPr>
        <w:t xml:space="preserve">. 2019;50:2118–2124. </w:t>
      </w:r>
      <w:bookmarkEnd w:id="46"/>
    </w:p>
    <w:p>
      <w:pPr>
        <w:pStyle w:val="Bibliography"/>
        <w:rPr/>
      </w:pPr>
      <w:bookmarkStart w:id="47" w:name="X7a4c185c12dbffdfd1dae8f81a04f8589333b44"/>
      <w:r>
        <w:rPr>
          <w:rFonts w:ascii="Liberation Serif" w:hAnsi="Liberation Serif"/>
        </w:rPr>
        <w:t xml:space="preserve">27. </w:t>
        <w:tab/>
        <w:t xml:space="preserve">Neugebauer H, Creutzfeldt CJ, Hemphill JC, Heuschmann PU, Jüttler E. </w:t>
      </w:r>
      <w:hyperlink r:id="rId28">
        <w:r>
          <w:rPr>
            <w:rStyle w:val="Hyperlink"/>
            <w:rFonts w:ascii="Liberation Serif" w:hAnsi="Liberation Serif"/>
          </w:rPr>
          <w:t>DESTINY-S: Attitudes of Physicians Toward Disability and Treatment in Malignant MCA Infarction</w:t>
        </w:r>
      </w:hyperlink>
      <w:r>
        <w:rPr>
          <w:rFonts w:ascii="Liberation Serif" w:hAnsi="Liberation Serif"/>
        </w:rPr>
        <w:t xml:space="preserve">. </w:t>
      </w:r>
      <w:r>
        <w:rPr>
          <w:rFonts w:ascii="Liberation Serif" w:hAnsi="Liberation Serif"/>
          <w:i/>
          <w:iCs/>
        </w:rPr>
        <w:t>Neurocritical Care</w:t>
      </w:r>
      <w:r>
        <w:rPr>
          <w:rFonts w:ascii="Liberation Serif" w:hAnsi="Liberation Serif"/>
        </w:rPr>
        <w:t xml:space="preserve">. 2014;21:27–34. </w:t>
      </w:r>
      <w:bookmarkEnd w:id="47"/>
    </w:p>
    <w:p>
      <w:pPr>
        <w:pStyle w:val="Bibliography"/>
        <w:rPr/>
      </w:pPr>
      <w:bookmarkStart w:id="48" w:name="X891c4e92ab559843651bf648920cce7507bc2b7"/>
      <w:r>
        <w:rPr>
          <w:rFonts w:ascii="Liberation Serif" w:hAnsi="Liberation Serif"/>
        </w:rPr>
        <w:t xml:space="preserve">28. </w:t>
        <w:tab/>
        <w:t xml:space="preserve">Neugebauer H, Schnabl M, Lulé D, Heuschmann PU, Jüttler E, IGNITE Study Group (Initiative of German NeuroIntensive Trial Engagement). </w:t>
      </w:r>
      <w:hyperlink r:id="rId29">
        <w:r>
          <w:rPr>
            <w:rStyle w:val="Hyperlink"/>
            <w:rFonts w:ascii="Liberation Serif" w:hAnsi="Liberation Serif"/>
          </w:rPr>
          <w:t>Attitudes of Patients and Relatives Toward Disability and Treatment in Malignant MCA Infarction</w:t>
        </w:r>
      </w:hyperlink>
      <w:r>
        <w:rPr>
          <w:rFonts w:ascii="Liberation Serif" w:hAnsi="Liberation Serif"/>
        </w:rPr>
        <w:t xml:space="preserve">. </w:t>
      </w:r>
      <w:r>
        <w:rPr>
          <w:rFonts w:ascii="Liberation Serif" w:hAnsi="Liberation Serif"/>
          <w:i/>
          <w:iCs/>
        </w:rPr>
        <w:t>Neurocritical Care</w:t>
      </w:r>
      <w:r>
        <w:rPr>
          <w:rFonts w:ascii="Liberation Serif" w:hAnsi="Liberation Serif"/>
        </w:rPr>
        <w:t xml:space="preserve">. 2017;26:311–318. </w:t>
      </w:r>
      <w:bookmarkEnd w:id="48"/>
    </w:p>
    <w:p>
      <w:pPr>
        <w:pStyle w:val="Bibliography"/>
        <w:rPr/>
      </w:pPr>
      <w:bookmarkStart w:id="49" w:name="X43fe660b2331ec7445277f5239a44c6686e4cba"/>
      <w:r>
        <w:rPr>
          <w:rFonts w:ascii="Liberation Serif" w:hAnsi="Liberation Serif"/>
        </w:rPr>
        <w:t xml:space="preserve">29. </w:t>
        <w:tab/>
        <w:t xml:space="preserve">Neugebauer H, Malakou F, Uttner I, Köpke M, Jüttler E, IGNITE Study Group (Initiative of German NeuroIntensive Trial Engagement). </w:t>
      </w:r>
      <w:hyperlink r:id="rId30">
        <w:r>
          <w:rPr>
            <w:rStyle w:val="Hyperlink"/>
            <w:rFonts w:ascii="Liberation Serif" w:hAnsi="Liberation Serif"/>
          </w:rPr>
          <w:t>Attitudes of Nurses Toward Disability and Treatment in Space-Occupying Middle Cerebral Artery Stroke</w:t>
        </w:r>
      </w:hyperlink>
      <w:r>
        <w:rPr>
          <w:rFonts w:ascii="Liberation Serif" w:hAnsi="Liberation Serif"/>
        </w:rPr>
        <w:t xml:space="preserve">. </w:t>
      </w:r>
      <w:r>
        <w:rPr>
          <w:rFonts w:ascii="Liberation Serif" w:hAnsi="Liberation Serif"/>
          <w:i/>
          <w:iCs/>
        </w:rPr>
        <w:t>Neurocritical Care</w:t>
      </w:r>
      <w:r>
        <w:rPr>
          <w:rFonts w:ascii="Liberation Serif" w:hAnsi="Liberation Serif"/>
        </w:rPr>
        <w:t xml:space="preserve">. 2019;30:132–138. </w:t>
      </w:r>
      <w:bookmarkEnd w:id="20"/>
      <w:bookmarkEnd w:id="49"/>
    </w:p>
    <w:p>
      <w:pPr>
        <w:pStyle w:val="Normal"/>
        <w:rPr>
          <w:rFonts w:ascii="Liberation Serif" w:hAnsi="Liberation Serif"/>
        </w:rPr>
      </w:pPr>
      <w:r>
        <w:rPr>
          <w:rFonts w:ascii="Liberation Serif" w:hAnsi="Liberation Serif"/>
        </w:rPr>
      </w:r>
      <w:bookmarkEnd w:id="19"/>
      <w:r>
        <w:br w:type="page"/>
      </w:r>
    </w:p>
    <w:p>
      <w:pPr>
        <w:pStyle w:val="Heading2"/>
        <w:spacing w:before="0" w:after="80"/>
        <w:rPr>
          <w:rFonts w:ascii="Liberation Serif" w:hAnsi="Liberation Serif"/>
        </w:rPr>
      </w:pPr>
      <w:bookmarkStart w:id="50" w:name="tables"/>
      <w:r>
        <w:rPr>
          <w:rFonts w:ascii="Liberation Serif" w:hAnsi="Liberation Serif"/>
        </w:rPr>
        <w:t>Tables</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rFonts w:ascii="Liberation Serif" w:hAnsi="Liberation Serif"/>
              </w:rPr>
            </w:pPr>
            <w:r>
              <w:rPr>
                <w:rFonts w:ascii="Liberation Serif" w:hAnsi="Liberation Serif"/>
              </w:rPr>
              <w:t>Table 1: Demographic and Clinical Characteristics of Patients with Left and Right Hemispheric Intracerebral Hemorrhage at Baseline</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872"/>
        <w:gridCol w:w="1872"/>
        <w:gridCol w:w="1872"/>
        <w:gridCol w:w="1872"/>
        <w:gridCol w:w="1872"/>
      </w:tblGrid>
      <w:tr>
        <w:trPr>
          <w:tblHeader w:val="true"/>
          <w:cantSplit/>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Characteristic</w:t>
            </w:r>
          </w:p>
        </w:tc>
        <w:tc>
          <w:tcPr>
            <w:tcW w:w="1872" w:type="dxa"/>
            <w:tcBorders>
              <w:top w:val="single" w:sz="16" w:space="0" w:color="D3D3D3"/>
              <w:bottom w:val="single" w:sz="16" w:space="0" w:color="D3D3D3"/>
            </w:tcBorders>
          </w:tcPr>
          <w:p>
            <w:pPr>
              <w:pStyle w:val="Normal"/>
              <w:keepNext w:val="true"/>
              <w:spacing w:before="0" w:after="60"/>
              <w:jc w:val="center"/>
              <w:rPr>
                <w:rFonts w:ascii="Liberation Serif" w:hAnsi="Liberation Serif"/>
              </w:rPr>
            </w:pPr>
            <w:r>
              <w:rPr>
                <w:rFonts w:ascii="Liberation Serif" w:hAnsi="Liberation Serif"/>
                <w:b/>
                <w:sz w:val="20"/>
              </w:rPr>
              <w:t>Overall</w:t>
            </w:r>
            <w:r>
              <w:rPr>
                <w:rFonts w:ascii="Liberation Serif" w:hAnsi="Liberation Serif"/>
                <w:sz w:val="20"/>
              </w:rPr>
              <w:t xml:space="preserve"> N = 3,477</w:t>
            </w:r>
          </w:p>
        </w:tc>
        <w:tc>
          <w:tcPr>
            <w:tcW w:w="1872" w:type="dxa"/>
            <w:tcBorders>
              <w:top w:val="single" w:sz="16" w:space="0" w:color="D3D3D3"/>
              <w:bottom w:val="single" w:sz="16" w:space="0" w:color="D3D3D3"/>
            </w:tcBorders>
          </w:tcPr>
          <w:p>
            <w:pPr>
              <w:pStyle w:val="Normal"/>
              <w:keepNext w:val="true"/>
              <w:spacing w:before="0" w:after="60"/>
              <w:jc w:val="center"/>
              <w:rPr>
                <w:rFonts w:ascii="Liberation Serif" w:hAnsi="Liberation Serif"/>
              </w:rPr>
            </w:pPr>
            <w:r>
              <w:rPr>
                <w:rFonts w:ascii="Liberation Serif" w:hAnsi="Liberation Serif"/>
                <w:b/>
                <w:sz w:val="20"/>
              </w:rPr>
              <w:t>Left</w:t>
            </w:r>
            <w:r>
              <w:rPr>
                <w:rFonts w:ascii="Liberation Serif" w:hAnsi="Liberation Serif"/>
                <w:sz w:val="20"/>
              </w:rPr>
              <w:t xml:space="preserve"> N = 1,720</w:t>
            </w:r>
          </w:p>
        </w:tc>
        <w:tc>
          <w:tcPr>
            <w:tcW w:w="1872" w:type="dxa"/>
            <w:tcBorders>
              <w:top w:val="single" w:sz="16" w:space="0" w:color="D3D3D3"/>
              <w:bottom w:val="single" w:sz="16" w:space="0" w:color="D3D3D3"/>
            </w:tcBorders>
          </w:tcPr>
          <w:p>
            <w:pPr>
              <w:pStyle w:val="Normal"/>
              <w:keepNext w:val="true"/>
              <w:spacing w:before="0" w:after="60"/>
              <w:jc w:val="center"/>
              <w:rPr>
                <w:rFonts w:ascii="Liberation Serif" w:hAnsi="Liberation Serif"/>
              </w:rPr>
            </w:pPr>
            <w:r>
              <w:rPr>
                <w:rFonts w:ascii="Liberation Serif" w:hAnsi="Liberation Serif"/>
                <w:b/>
                <w:sz w:val="20"/>
              </w:rPr>
              <w:t>Right</w:t>
            </w:r>
            <w:r>
              <w:rPr>
                <w:rFonts w:ascii="Liberation Serif" w:hAnsi="Liberation Serif"/>
                <w:sz w:val="20"/>
              </w:rPr>
              <w:t xml:space="preserve"> N = 1,757</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b/>
                <w:sz w:val="20"/>
              </w:rPr>
              <w:t>SMD</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Age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61 (52,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61 (52, 72)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61 (52,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-0.01</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Sex</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Female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1,396 (40%)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713 (41%)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683 (39%)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Male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2,081 (60%)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1,007 (59%)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1,074 (61%)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Race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American Indian or Alaskan Native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 (0.2%)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 (0.3%)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Asian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557 (16%)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263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294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Black or African-American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1,022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510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512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Other/Not Reported</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16 (0.5%)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 (0.4%)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9 (0.5%)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White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1,875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935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940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Ethnicity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Hispanic or Latino</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129 (3.7%)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70 (4.1%)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59 (3.4%)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Not Hispanic or Latino</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2,296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1,141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1,155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Unknown/Not Reported</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1,052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509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543 (31%)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LNW to ED Presentation (mins)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78 (60,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74 (60,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83 (59,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Baseline SBP (mm Hg)</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190 (165, 215)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190 (165, 216)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190 (165, 214)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0.02</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Baseline NIHSS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 (6, 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 (6,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 (7, 14)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0.24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Baseline GCS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15 (12,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14 (11,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15 (13,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-0.26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Hypertension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784 (23%)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366 (21%)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418 (24%)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Type II Diabetes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705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348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357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0.00</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Previous Stroke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583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293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290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0.01</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Tobacco Use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1,622 (47%)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780 (45%)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842 (48%)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ICH Location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0.12</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Basal Ganglia</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1,304 (38%)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688 (40%)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616 (35%)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Lobar</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1,016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505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511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Thalamus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1,157 (33%)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527 (31%)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630 (36%)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ICH Volume (mL)</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 (5, 26)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11 (5, 24)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12 (5, 27)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IVH</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1,304 (38%)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624 (36%)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680 (39%)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Study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ATACH-2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990 (28%)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472 (27%)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518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    </w:t>
            </w:r>
            <w:r>
              <w:rPr>
                <w:rFonts w:ascii="Liberation Serif" w:hAnsi="Liberation Serif"/>
                <w:sz w:val="20"/>
              </w:rPr>
              <w:t>ERICH</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2,487 (72%)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1,248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sz w:val="20"/>
              </w:rPr>
              <w:t>1,239 (71%)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rFonts w:ascii="Liberation Serif" w:hAnsi="Liberation Serif"/>
              </w:rPr>
            </w:pPr>
            <w:r>
              <w:rPr>
                <w:rFonts w:ascii="Liberation Serif" w:hAnsi="Liberation Serif"/>
              </w:rPr>
            </w:r>
          </w:p>
        </w:tc>
      </w:tr>
      <w:tr>
        <w:trPr>
          <w:cantSplit/>
        </w:trPr>
        <w:tc>
          <w:tcPr>
            <w:tcW w:w="9360" w:type="dxa"/>
            <w:gridSpan w:val="5"/>
            <w:tcBorders/>
          </w:tcPr>
          <w:p>
            <w:pPr>
              <w:pStyle w:val="Normal"/>
              <w:keepNext w:val="true"/>
              <w:spacing w:before="0" w:after="60"/>
              <w:rPr>
                <w:rFonts w:ascii="Liberation Serif" w:hAnsi="Liberation Serif"/>
              </w:rPr>
            </w:pPr>
            <w:r>
              <w:rPr>
                <w:rFonts w:ascii="Liberation Serif" w:hAnsi="Liberation Serif"/>
                <w:sz w:val="20"/>
              </w:rPr>
              <w: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bookmarkStart w:id="51" w:name="tbl-1"/>
            <w:bookmarkEnd w:id="51"/>
          </w:p>
        </w:tc>
      </w:tr>
    </w:tbl>
    <w:p>
      <w:pPr>
        <w:pStyle w:val="Normal"/>
        <w:rPr>
          <w:rFonts w:ascii="Liberation Serif" w:hAnsi="Liberation Serif"/>
        </w:rPr>
      </w:pPr>
      <w:r>
        <w:rPr>
          <w:rFonts w:ascii="Liberation Serif" w:hAnsi="Liberation Serif"/>
        </w:rPr>
      </w:r>
      <w:r>
        <w:br w:type="page"/>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pageBreakBefore/>
              <w:spacing w:before="0" w:after="120"/>
              <w:jc w:val="left"/>
              <w:rPr>
                <w:rFonts w:ascii="Liberation Serif" w:hAnsi="Liberation Serif"/>
              </w:rPr>
            </w:pPr>
            <w:r>
              <w:rPr>
                <w:rFonts w:ascii="Liberation Serif" w:hAnsi="Liberation Serif"/>
              </w:rPr>
              <w:t>Table 2: Association of Hemispheric Laterality with Primary and Secondary Outcomes</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337"/>
        <w:gridCol w:w="1337"/>
        <w:gridCol w:w="1337"/>
        <w:gridCol w:w="1337"/>
        <w:gridCol w:w="1337"/>
        <w:gridCol w:w="1337"/>
        <w:gridCol w:w="1338"/>
      </w:tblGrid>
      <w:tr>
        <w:trPr>
          <w:tblHeader w:val="true"/>
          <w:cantSplit/>
        </w:trPr>
        <w:tc>
          <w:tcPr>
            <w:tcW w:w="1337"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Outcome</w:t>
            </w:r>
          </w:p>
        </w:tc>
        <w:tc>
          <w:tcPr>
            <w:tcW w:w="1337" w:type="dxa"/>
            <w:tcBorders>
              <w:top w:val="single" w:sz="16" w:space="0" w:color="D3D3D3"/>
              <w:left w:val="single" w:sz="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Left Hemisphere</w:t>
            </w:r>
          </w:p>
        </w:tc>
        <w:tc>
          <w:tcPr>
            <w:tcW w:w="1337"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Right Hemisphere</w:t>
            </w:r>
          </w:p>
        </w:tc>
        <w:tc>
          <w:tcPr>
            <w:tcW w:w="1337"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aOR / IRR (95% CrI)</w:t>
            </w:r>
          </w:p>
        </w:tc>
        <w:tc>
          <w:tcPr>
            <w:tcW w:w="1337"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Probability of difference (Est &gt; 1)</w:t>
            </w:r>
          </w:p>
        </w:tc>
        <w:tc>
          <w:tcPr>
            <w:tcW w:w="1337"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b/>
                <w:sz w:val="20"/>
              </w:rPr>
              <w:t>Probability of substantial difference (Est &gt; 1.2)</w:t>
            </w:r>
          </w:p>
        </w:tc>
        <w:tc>
          <w:tcPr>
            <w:tcW w:w="1338" w:type="dxa"/>
            <w:tcBorders>
              <w:top w:val="single" w:sz="16" w:space="0" w:color="D3D3D3"/>
              <w:bottom w:val="single" w:sz="1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ROPE</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Neurosurgical Intervention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86 (5.0%)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144 (8.2%)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1.65 (1.28 - 2.14)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&gt; 99.9%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99.3%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External Ventricular Drain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236 (13.7%)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272 (15.5%)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1.22 (1.04 - 1.44)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99.2%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58.2%</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3.3%</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Days of Mechanical Ventilation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 (3 – 12)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 (3 – 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0.99 (0.89 - 1.09)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65.6%</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Tracheostomy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1.13 (0.66 - 1.91)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67.2%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41.2%</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13.1%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152 (8.8%)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143 (8.1%)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0.95 (0.76 - 1.17)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30.2%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31.5%</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Early 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45 (2.6%)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39 (2.2%)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0.93 (0.63 - 1.35)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34.5%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8.8%</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19.1%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DNR Order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195 (11.3%)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202 (11.5%)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1.01 (0.85 - 1.21)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55.2%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41.3%</w:t>
            </w:r>
          </w:p>
        </w:tc>
      </w:tr>
      <w:tr>
        <w:trPr>
          <w:cantSplit/>
        </w:trPr>
        <w:tc>
          <w:tcPr>
            <w:tcW w:w="9360" w:type="dxa"/>
            <w:gridSpan w:val="7"/>
            <w:tcBorders/>
          </w:tcPr>
          <w:p>
            <w:pPr>
              <w:pStyle w:val="Normal"/>
              <w:keepNext w:val="true"/>
              <w:spacing w:before="0" w:after="60"/>
              <w:rPr>
                <w:rFonts w:ascii="Liberation Serif" w:hAnsi="Liberation Serif"/>
              </w:rPr>
            </w:pPr>
            <w:r>
              <w:rPr>
                <w:rFonts w:ascii="Liberation Serif" w:hAnsi="Liberation Serif"/>
                <w:sz w:val="20"/>
              </w:rPr>
              <w: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bookmarkStart w:id="52" w:name="tbl-2"/>
            <w:bookmarkEnd w:id="52"/>
          </w:p>
        </w:tc>
      </w:tr>
    </w:tbl>
    <w:p>
      <w:pPr>
        <w:pStyle w:val="Normal"/>
        <w:rPr>
          <w:rFonts w:ascii="Liberation Serif" w:hAnsi="Liberation Serif"/>
        </w:rPr>
      </w:pPr>
      <w:r>
        <w:rPr>
          <w:rFonts w:ascii="Liberation Serif" w:hAnsi="Liberation Serif"/>
        </w:rPr>
      </w:r>
      <w:r>
        <w:br w:type="page"/>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pageBreakBefore/>
              <w:spacing w:before="0" w:after="120"/>
              <w:jc w:val="left"/>
              <w:rPr>
                <w:rFonts w:ascii="Liberation Serif" w:hAnsi="Liberation Serif"/>
              </w:rPr>
            </w:pPr>
            <w:r>
              <w:rPr>
                <w:rFonts w:ascii="Liberation Serif" w:hAnsi="Liberation Serif"/>
              </w:rPr>
              <w:t>Table 3: Association of Hemispheric Laterality with Functional Outcomes</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872"/>
        <w:gridCol w:w="1872"/>
        <w:gridCol w:w="1872"/>
        <w:gridCol w:w="1872"/>
        <w:gridCol w:w="1872"/>
      </w:tblGrid>
      <w:tr>
        <w:trPr>
          <w:tblHeader w:val="true"/>
          <w:cantSplit/>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sz w:val="20"/>
              </w:rPr>
              <w:t>Outcome</w:t>
            </w:r>
          </w:p>
        </w:tc>
        <w:tc>
          <w:tcPr>
            <w:tcW w:w="1872"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sz w:val="20"/>
              </w:rPr>
              <w:t>aOR / Mean Diff (95% CrI)</w:t>
            </w:r>
          </w:p>
        </w:tc>
        <w:tc>
          <w:tcPr>
            <w:tcW w:w="1872"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sz w:val="20"/>
              </w:rPr>
              <w:t>Probability of any difference</w:t>
            </w:r>
          </w:p>
        </w:tc>
        <w:tc>
          <w:tcPr>
            <w:tcW w:w="1872" w:type="dxa"/>
            <w:tcBorders>
              <w:top w:val="single" w:sz="16" w:space="0" w:color="D3D3D3"/>
              <w:bottom w:val="single" w:sz="16" w:space="0" w:color="D3D3D3"/>
            </w:tcBorders>
          </w:tcPr>
          <w:p>
            <w:pPr>
              <w:pStyle w:val="Normal"/>
              <w:keepNext w:val="true"/>
              <w:spacing w:before="0" w:after="60"/>
              <w:jc w:val="left"/>
              <w:rPr>
                <w:rFonts w:ascii="Liberation Serif" w:hAnsi="Liberation Serif"/>
              </w:rPr>
            </w:pPr>
            <w:r>
              <w:rPr>
                <w:rFonts w:ascii="Liberation Serif" w:hAnsi="Liberation Serif"/>
                <w:sz w:val="20"/>
              </w:rPr>
              <w:t>Probability of a substantial difference</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ROPE</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Modified Rankin Score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0.99 (0.98 - 1.00)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&gt; 99.9%</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EuroQOL - Mobility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1.03 (1.01 - 1.05)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&gt; 99.9%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98.3%</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EuroQOL - Self-Care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1.03 (1.02 - 1.05)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&gt; 99.9%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96.4%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EuroQOL - Usual Activities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0.99 (0.99 - 1.00)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&gt; 99.9%</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EuroQOL - Pain/Discomfort</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1.06 (1.01 - 1.11)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99.1%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38.3%</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EuroQOL - Anxiety/Depression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1.04 (0.99 - 1.09)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95.3%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b/>
                <w:sz w:val="20"/>
              </w:rPr>
              <w:t>Euro VAS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-1.7 (-3.6 - 0.2)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96.1%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rFonts w:ascii="Liberation Serif" w:hAnsi="Liberation Serif"/>
              </w:rPr>
            </w:pPr>
            <w:r>
              <w:rPr>
                <w:rFonts w:ascii="Liberation Serif" w:hAnsi="Liberation Serif"/>
                <w:sz w:val="20"/>
              </w:rPr>
              <w:t>62.3%</w:t>
            </w:r>
          </w:p>
        </w:tc>
      </w:tr>
      <w:tr>
        <w:trPr>
          <w:cantSplit/>
        </w:trPr>
        <w:tc>
          <w:tcPr>
            <w:tcW w:w="9360" w:type="dxa"/>
            <w:gridSpan w:val="5"/>
            <w:tcBorders/>
          </w:tcPr>
          <w:p>
            <w:pPr>
              <w:pStyle w:val="Normal"/>
              <w:keepNext w:val="true"/>
              <w:spacing w:before="0" w:after="60"/>
              <w:rPr>
                <w:rFonts w:ascii="Liberation Serif" w:hAnsi="Liberation Serif"/>
              </w:rPr>
            </w:pPr>
            <w:r>
              <w:rPr>
                <w:rFonts w:ascii="Liberation Serif" w:hAnsi="Liberation Serif"/>
                <w:sz w:val="20"/>
              </w:rPr>
              <w: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CrI, credible interval; GCS, Glasgow Coma Scale; ICH, intracerebral hemorrhage; and IVH, intraventricular hemorrhage.</w:t>
            </w:r>
            <w:bookmarkStart w:id="53" w:name="tbl-3"/>
            <w:bookmarkEnd w:id="53"/>
          </w:p>
        </w:tc>
      </w:tr>
    </w:tbl>
    <w:p>
      <w:pPr>
        <w:pStyle w:val="Normal"/>
        <w:rPr>
          <w:rFonts w:ascii="Liberation Serif" w:hAnsi="Liberation Serif"/>
        </w:rPr>
      </w:pPr>
      <w:r>
        <w:rPr>
          <w:rFonts w:ascii="Liberation Serif" w:hAnsi="Liberation Serif"/>
        </w:rPr>
      </w:r>
      <w:bookmarkEnd w:id="50"/>
      <w:r>
        <w:br w:type="page"/>
      </w:r>
    </w:p>
    <w:p>
      <w:pPr>
        <w:pStyle w:val="Heading2"/>
        <w:spacing w:before="0" w:after="80"/>
        <w:rPr>
          <w:rFonts w:ascii="Liberation Serif" w:hAnsi="Liberation Serif"/>
        </w:rPr>
      </w:pPr>
      <w:r>
        <w:rPr>
          <w:rFonts w:ascii="Liberation Serif" w:hAnsi="Liberation Serif"/>
        </w:rPr>
        <w:t>Figures</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Compact"/>
              <w:spacing w:before="36" w:after="36"/>
              <w:jc w:val="center"/>
              <w:rPr>
                <w:rFonts w:ascii="Liberation Serif" w:hAnsi="Liberation Serif"/>
              </w:rPr>
            </w:pPr>
            <w:bookmarkStart w:id="54" w:name="fig-1"/>
            <w:r>
              <w:rPr>
                <w:rFonts w:ascii="Liberation Serif" w:hAnsi="Liberation Serif"/>
              </w:rPr>
              <w:drawing>
                <wp:inline distT="0" distB="0" distL="0" distR="0">
                  <wp:extent cx="5943600" cy="594360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31"/>
                          <a:stretch>
                            <a:fillRect/>
                          </a:stretch>
                        </pic:blipFill>
                        <pic:spPr bwMode="auto">
                          <a:xfrm>
                            <a:off x="0" y="0"/>
                            <a:ext cx="5943600" cy="5943600"/>
                          </a:xfrm>
                          <a:prstGeom prst="rect">
                            <a:avLst/>
                          </a:prstGeom>
                          <a:noFill/>
                        </pic:spPr>
                      </pic:pic>
                    </a:graphicData>
                  </a:graphic>
                </wp:inline>
              </w:drawing>
            </w:r>
          </w:p>
          <w:p>
            <w:pPr>
              <w:pStyle w:val="ImageCaption"/>
              <w:spacing w:before="200" w:after="120"/>
              <w:jc w:val="left"/>
              <w:rPr>
                <w:rFonts w:ascii="Liberation Serif" w:hAnsi="Liberation Serif"/>
              </w:rPr>
            </w:pPr>
            <w:r>
              <w:rPr>
                <w:rFonts w:ascii="Liberation Serif" w:hAnsi="Liberation Serif"/>
              </w:rPr>
              <w:t>Figure 1: Prior Sensitivity Analysis for Neurosurgical Intervention</w:t>
            </w:r>
            <w:bookmarkEnd w:id="54"/>
          </w:p>
        </w:tc>
      </w:tr>
    </w:tbl>
    <w:p>
      <w:pPr>
        <w:pStyle w:val="BodyText"/>
        <w:rPr>
          <w:rFonts w:ascii="Liberation Serif" w:hAnsi="Liberation Serif"/>
        </w:rPr>
      </w:pPr>
      <w:r>
        <w:rPr>
          <w:rFonts w:ascii="Liberation Serif" w:hAnsi="Liberation Serif"/>
        </w:rPr>
        <w:t xml:space="preserve"> </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Compact"/>
              <w:spacing w:before="36" w:after="36"/>
              <w:jc w:val="center"/>
              <w:rPr>
                <w:rFonts w:ascii="Liberation Serif" w:hAnsi="Liberation Serif"/>
              </w:rPr>
            </w:pPr>
            <w:bookmarkStart w:id="55" w:name="fig-2"/>
            <w:r>
              <w:rPr>
                <w:rFonts w:ascii="Liberation Serif" w:hAnsi="Liberation Serif"/>
              </w:rPr>
              <w:drawing>
                <wp:inline distT="0" distB="0" distL="0" distR="0">
                  <wp:extent cx="5943600" cy="382079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2"/>
                          <a:stretch>
                            <a:fillRect/>
                          </a:stretch>
                        </pic:blipFill>
                        <pic:spPr bwMode="auto">
                          <a:xfrm>
                            <a:off x="0" y="0"/>
                            <a:ext cx="5943600" cy="3820795"/>
                          </a:xfrm>
                          <a:prstGeom prst="rect">
                            <a:avLst/>
                          </a:prstGeom>
                          <a:noFill/>
                        </pic:spPr>
                      </pic:pic>
                    </a:graphicData>
                  </a:graphic>
                </wp:inline>
              </w:drawing>
            </w:r>
          </w:p>
          <w:p>
            <w:pPr>
              <w:pStyle w:val="ImageCaption"/>
              <w:spacing w:before="200" w:after="120"/>
              <w:jc w:val="left"/>
              <w:rPr>
                <w:rFonts w:ascii="Liberation Serif" w:hAnsi="Liberation Serif"/>
              </w:rPr>
            </w:pPr>
            <w:r>
              <w:rPr>
                <w:rFonts w:ascii="Liberation Serif" w:hAnsi="Liberation Serif"/>
              </w:rPr>
              <w:t>Figure 2: modified Rankin Score at 90 days Stratified by ICH Laterality</w:t>
            </w:r>
            <w:bookmarkStart w:id="56" w:name="figures"/>
            <w:bookmarkEnd w:id="55"/>
            <w:bookmarkEnd w:id="56"/>
          </w:p>
        </w:tc>
      </w:tr>
    </w:tbl>
    <w:sectPr>
      <w:footerReference w:type="even" r:id="rId33"/>
      <w:footerReference w:type="default" r:id="rId34"/>
      <w:type w:val="nextPage"/>
      <w:pgSz w:w="12240" w:h="15840"/>
      <w:pgMar w:left="1440" w:right="1440" w:gutter="0" w:header="0" w:top="1440" w:footer="1440" w:bottom="199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pPr>
    <w:bookmarkStart w:id="57" w:name="PageNumWizard_FOOTER_Default_Page_Style1"/>
    <w:r>
      <w:rPr/>
      <w:fldChar w:fldCharType="begin"/>
    </w:r>
    <w:r>
      <w:rPr/>
      <w:instrText xml:space="preserve"> PAGE </w:instrText>
    </w:r>
    <w:r>
      <w:rPr/>
      <w:fldChar w:fldCharType="separate"/>
    </w:r>
    <w:r>
      <w:rPr/>
      <w:t>34</w:t>
    </w:r>
    <w:r>
      <w:rPr/>
      <w:fldChar w:fldCharType="end"/>
    </w:r>
    <w:bookmarkEnd w:id="57"/>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bookmarkStart w:id="58" w:name="PageNumWizard_FOOTER_Default_Page_Style2"/>
    <w:r>
      <w:rPr/>
      <w:fldChar w:fldCharType="begin"/>
    </w:r>
    <w:r>
      <w:rPr/>
      <w:instrText xml:space="preserve"> PAGE </w:instrText>
    </w:r>
    <w:r>
      <w:rPr/>
      <w:fldChar w:fldCharType="separate"/>
    </w:r>
    <w:r>
      <w:rPr/>
      <w:t>33</w:t>
    </w:r>
    <w:r>
      <w:rPr/>
      <w:fldChar w:fldCharType="end"/>
    </w:r>
    <w:bookmarkEnd w:id="58"/>
  </w:p>
</w:ftr>
</file>

<file path=word/settings.xml><?xml version="1.0" encoding="utf-8"?>
<w:settings xmlns:w="http://schemas.openxmlformats.org/wordprocessingml/2006/main">
  <w:zoom w:percent="120"/>
  <w:embedSystemFonts/>
  <w:mirrorMargins/>
  <w:defaultTabStop w:val="720"/>
  <w:autoHyphenation w:val="true"/>
  <w:hyphenationZone w:val="0"/>
  <w:evenAndOddHeaders/>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23217492"/>
    <w:pPr>
      <w:keepNext w:val="true"/>
      <w:keepLines/>
      <w:spacing w:before="360" w:after="80"/>
      <w:outlineLvl w:val="0"/>
    </w:pPr>
    <w:rPr>
      <w:rFonts w:ascii="Aptos Display" w:hAnsi="Aptos Display" w:eastAsia="" w:cs="" w:asciiTheme="majorAscii" w:cstheme="majorBidi" w:eastAsiaTheme="majorEastAsia" w:hAnsiTheme="majorAscii"/>
      <w:b/>
      <w:bCs/>
      <w:color w:themeColor="accent1" w:themeShade="bf" w:val="0F4761"/>
      <w:sz w:val="32"/>
      <w:szCs w:val="32"/>
    </w:rPr>
  </w:style>
  <w:style w:type="paragraph" w:styleId="Heading2">
    <w:name w:val="heading 2"/>
    <w:basedOn w:val="Normal"/>
    <w:next w:val="BodyText"/>
    <w:link w:val="Heading2Char"/>
    <w:uiPriority w:val="9"/>
    <w:semiHidden/>
    <w:unhideWhenUsed/>
    <w:qFormat/>
    <w:rsid w:val="23217492"/>
    <w:pPr>
      <w:keepNext w:val="true"/>
      <w:keepLines/>
      <w:spacing w:before="160" w:after="80"/>
      <w:outlineLvl w:val="1"/>
    </w:pPr>
    <w:rPr>
      <w:rFonts w:ascii="Aptos Display" w:hAnsi="Aptos Display" w:eastAsia="" w:cs="" w:asciiTheme="majorAscii" w:cstheme="majorBidi" w:eastAsiaTheme="majorEastAsia" w:hAnsiTheme="majorAscii"/>
      <w:b/>
      <w:bCs/>
      <w:color w:themeColor="accent1" w:themeShade="bf" w:val="0F4761"/>
      <w:sz w:val="32"/>
      <w:szCs w:val="32"/>
    </w:rPr>
  </w:style>
  <w:style w:type="paragraph" w:styleId="Heading3">
    <w:name w:val="heading 3"/>
    <w:basedOn w:val="Normal"/>
    <w:next w:val="BodyText"/>
    <w:link w:val="Heading3Char"/>
    <w:uiPriority w:val="9"/>
    <w:semiHidden/>
    <w:unhideWhenUsed/>
    <w:qFormat/>
    <w:rsid w:val="23217492"/>
    <w:pPr>
      <w:keepNext w:val="true"/>
      <w:keepLines/>
      <w:spacing w:before="160" w:after="80"/>
      <w:outlineLvl w:val="2"/>
    </w:pPr>
    <w:rPr>
      <w:rFonts w:ascii="Aptos" w:hAnsi="Aptos" w:eastAsia="" w:cs="" w:asciiTheme="minorAscii" w:cstheme="majorBidi" w:eastAsiaTheme="majorEastAsia" w:hAnsiTheme="minorAscii"/>
      <w:color w:themeColor="accent1" w:themeShade="bf" w:val="0F4761"/>
      <w:sz w:val="24"/>
      <w:szCs w:val="24"/>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23217492"/>
    <w:rPr>
      <w:rFonts w:ascii="Aptos Display" w:hAnsi="Aptos Display" w:eastAsia="" w:cs="" w:asciiTheme="majorAscii" w:cstheme="majorBidi" w:eastAsiaTheme="majorEastAsia" w:hAnsiTheme="majorAscii"/>
      <w:b/>
      <w:bCs/>
      <w:sz w:val="32"/>
      <w:szCs w:val="32"/>
    </w:rPr>
  </w:style>
  <w:style w:type="character" w:styleId="SubtitleChar" w:customStyle="1">
    <w:name w:val="Subtitle Char"/>
    <w:basedOn w:val="DefaultParagraphFont"/>
    <w:link w:val="Subtitle"/>
    <w:uiPriority w:val="11"/>
    <w:qFormat/>
    <w:rsid w:val="23217492"/>
    <w:rPr>
      <w:rFonts w:ascii="Aptos Display" w:hAnsi="Aptos Display" w:eastAsia="" w:cs="" w:asciiTheme="majorAscii" w:cstheme="majorBidi" w:eastAsiaTheme="majorEastAsia" w:hAnsiTheme="majorAscii"/>
      <w:b/>
      <w:bCs/>
      <w:color w:themeColor="text1" w:themeTint="a6" w:val="595959"/>
      <w:sz w:val="24"/>
      <w:szCs w:val="24"/>
    </w:rPr>
  </w:style>
  <w:style w:type="character" w:styleId="Heading1Char" w:customStyle="1">
    <w:name w:val="Heading 1 Char"/>
    <w:basedOn w:val="DefaultParagraphFont"/>
    <w:link w:val="Heading1"/>
    <w:uiPriority w:val="9"/>
    <w:qFormat/>
    <w:rsid w:val="23217492"/>
    <w:rPr>
      <w:rFonts w:ascii="Aptos Display" w:hAnsi="Aptos Display" w:eastAsia="" w:cs="" w:asciiTheme="majorAscii" w:cstheme="majorBidi" w:eastAsiaTheme="majorEastAsia" w:hAnsiTheme="majorAscii"/>
      <w:b/>
      <w:bCs/>
      <w:color w:themeColor="accent1" w:themeShade="bf" w:val="0F4761"/>
      <w:sz w:val="32"/>
      <w:szCs w:val="32"/>
    </w:rPr>
  </w:style>
  <w:style w:type="character" w:styleId="Heading2Char" w:customStyle="1">
    <w:name w:val="Heading 2 Char"/>
    <w:basedOn w:val="DefaultParagraphFont"/>
    <w:link w:val="Heading2"/>
    <w:uiPriority w:val="9"/>
    <w:semiHidden/>
    <w:qFormat/>
    <w:rsid w:val="23217492"/>
    <w:rPr>
      <w:rFonts w:ascii="Aptos Display" w:hAnsi="Aptos Display" w:eastAsia="" w:cs="" w:asciiTheme="majorAscii" w:cstheme="majorBidi" w:eastAsiaTheme="majorEastAsia" w:hAnsiTheme="majorAscii"/>
      <w:b/>
      <w:bCs/>
      <w:color w:themeColor="accent1" w:themeShade="bf" w:val="0F4761"/>
      <w:sz w:val="32"/>
      <w:szCs w:val="32"/>
    </w:rPr>
  </w:style>
  <w:style w:type="character" w:styleId="Heading3Char" w:customStyle="1">
    <w:name w:val="Heading 3 Char"/>
    <w:basedOn w:val="DefaultParagraphFont"/>
    <w:link w:val="Heading3"/>
    <w:uiPriority w:val="9"/>
    <w:semiHidden/>
    <w:qFormat/>
    <w:rsid w:val="23217492"/>
    <w:rPr>
      <w:rFonts w:ascii="Aptos" w:hAnsi="Aptos" w:eastAsia="" w:cs="" w:asciiTheme="minorAscii" w:cstheme="majorBidi" w:eastAsiaTheme="majorEastAsia" w:hAnsiTheme="minorAscii"/>
      <w:color w:themeColor="accent1" w:themeShade="bf" w:val="0F4761"/>
      <w:sz w:val="24"/>
      <w:szCs w:val="24"/>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SubtleReference">
    <w:name w:val="Subtle Reference"/>
    <w:basedOn w:val="DefaultParagraphFont"/>
    <w:uiPriority w:val="31"/>
    <w:qFormat/>
    <w:rsid w:val="23217492"/>
    <w:rPr>
      <w:smallCaps/>
      <w:color w:val="5A5A5A"/>
    </w:rPr>
  </w:style>
  <w:style w:type="character" w:styleId="IntenseReference">
    <w:name w:val="Intense Reference"/>
    <w:basedOn w:val="DefaultParagraphFont"/>
    <w:uiPriority w:val="32"/>
    <w:qFormat/>
    <w:rsid w:val="23217492"/>
    <w:rPr>
      <w:b/>
      <w:bCs/>
      <w:smallCaps/>
      <w:color w:themeColor="accent1" w:themeShade="bf" w:val="0F4761"/>
    </w:rPr>
  </w:style>
  <w:style w:type="character" w:styleId="QuoteChar" w:customStyle="1">
    <w:name w:val="Quote Char"/>
    <w:basedOn w:val="DefaultParagraphFont"/>
    <w:link w:val="Quote"/>
    <w:uiPriority w:val="29"/>
    <w:qFormat/>
    <w:rsid w:val="23217492"/>
    <w:rPr>
      <w:i/>
      <w:iCs/>
      <w:color w:themeColor="text1" w:themeTint="bf" w:val="404040"/>
    </w:rPr>
  </w:style>
  <w:style w:type="character" w:styleId="IntenseQuoteChar" w:customStyle="1">
    <w:name w:val="Intense Quote Char"/>
    <w:basedOn w:val="DefaultParagraphFont"/>
    <w:link w:val="IntenseQuote"/>
    <w:uiPriority w:val="30"/>
    <w:qFormat/>
    <w:rsid w:val="23217492"/>
    <w:rPr>
      <w:i/>
      <w:iCs/>
      <w:color w:themeColor="accent1" w:themeShade="bf" w:val="0F4761"/>
    </w:rPr>
  </w:style>
  <w:style w:type="character" w:styleId="FooterChar" w:customStyle="1">
    <w:name w:val="Footer Char"/>
    <w:basedOn w:val="DefaultParagraphFont"/>
    <w:link w:val="Footer"/>
    <w:uiPriority w:val="99"/>
    <w:qFormat/>
    <w:rsid w:val="23217492"/>
    <w:rPr/>
  </w:style>
  <w:style w:type="character" w:styleId="HeaderChar" w:customStyle="1">
    <w:name w:val="Header Char"/>
    <w:basedOn w:val="DefaultParagraphFont"/>
    <w:link w:val="Header"/>
    <w:uiPriority w:val="99"/>
    <w:qFormat/>
    <w:rsid w:val="23217492"/>
    <w:rPr/>
  </w:style>
  <w:style w:type="character" w:styleId="MacroTextChar" w:customStyle="1">
    <w:name w:val="Macro Text Char"/>
    <w:basedOn w:val="DefaultParagraphFont"/>
    <w:link w:val="MacroText"/>
    <w:uiPriority w:val="99"/>
    <w:qFormat/>
    <w:rsid w:val="23217492"/>
    <w:rPr>
      <w:rFonts w:ascii="Consolas" w:hAnsi="Consolas"/>
      <w:sz w:val="20"/>
      <w:szCs w:val="20"/>
    </w:rPr>
  </w:style>
  <w:style w:type="character" w:styleId="EndnoteCharactersuser">
    <w:name w:val="Endnote Characters (user)"/>
    <w:qFormat/>
    <w:rPr>
      <w:vertAlign w:val="superscript"/>
    </w:rPr>
  </w:style>
  <w:style w:type="character" w:styleId="EndnoteCharacters">
    <w:name w:val="Endnote Characters"/>
    <w:qFormat/>
    <w:rPr/>
  </w:style>
  <w:style w:type="character" w:styleId="EndnoteReference">
    <w:name w:val="endnote reference"/>
    <w:rPr>
      <w:vertAlign w:val="superscript"/>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Heading">
    <w:name w:val="Heading"/>
    <w:basedOn w:val="Normal"/>
    <w:next w:val="BodyText"/>
    <w:qFormat/>
    <w:pPr>
      <w:keepNext w:val="true"/>
      <w:spacing w:before="240" w:after="120"/>
    </w:pPr>
    <w:rPr>
      <w:rFonts w:ascii="Liberation Sans" w:hAnsi="Liberation Sans" w:eastAsia="Nunito ExtraLight" w:cs="Nunito ExtraLight"/>
      <w:sz w:val="28"/>
      <w:szCs w:val="28"/>
    </w:rPr>
  </w:style>
  <w:style w:type="paragraph" w:styleId="BodyText">
    <w:name w:val="Body Text"/>
    <w:basedOn w:val="Normal"/>
    <w:link w:val="BodyTextChar"/>
    <w:qFormat/>
    <w:pPr>
      <w:spacing w:lineRule="auto" w:line="480" w:before="0" w:after="59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uiPriority w:val="1"/>
    <w:qFormat/>
    <w:rsid w:val="23217492"/>
    <w:pPr>
      <w:spacing w:lineRule="auto" w:line="480"/>
    </w:pPr>
    <w:rPr>
      <w:rFonts w:ascii="Aptos" w:hAnsi="Aptos" w:eastAsia="" w:cs="" w:asciiTheme="minorAscii" w:cstheme="minorBidi" w:eastAsiaTheme="minorEastAsia" w:hAnsiTheme="minorAscii"/>
      <w:sz w:val="24"/>
      <w:szCs w:val="24"/>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23217492"/>
    <w:pPr>
      <w:spacing w:lineRule="auto" w:line="240" w:before="0" w:after="80"/>
      <w:contextualSpacing/>
      <w:jc w:val="left"/>
    </w:pPr>
    <w:rPr>
      <w:rFonts w:ascii="Aptos Display" w:hAnsi="Aptos Display" w:eastAsia="" w:cs="" w:asciiTheme="majorAscii" w:cstheme="majorBidi" w:eastAsiaTheme="majorEastAsia" w:hAnsiTheme="majorAscii"/>
      <w:b/>
      <w:bCs/>
      <w:sz w:val="32"/>
      <w:szCs w:val="32"/>
    </w:rPr>
  </w:style>
  <w:style w:type="paragraph" w:styleId="Subtitle">
    <w:name w:val="Subtitle"/>
    <w:basedOn w:val="Title"/>
    <w:next w:val="BodyText"/>
    <w:link w:val="SubtitleChar"/>
    <w:uiPriority w:val="11"/>
    <w:qFormat/>
    <w:rsid w:val="23217492"/>
    <w:pPr/>
    <w:rPr>
      <w:sz w:val="24"/>
      <w:szCs w:val="24"/>
    </w:rPr>
  </w:style>
  <w:style w:type="paragraph" w:styleId="Author" w:customStyle="1">
    <w:name w:val="Author"/>
    <w:basedOn w:val="Title"/>
    <w:next w:val="BodyText"/>
    <w:uiPriority w:val="1"/>
    <w:qFormat/>
    <w:rsid w:val="23217492"/>
    <w:pPr>
      <w:keepNext w:val="true"/>
      <w:keepLines/>
    </w:pPr>
    <w:rPr>
      <w:b w:val="false"/>
      <w:bCs w:val="false"/>
      <w:sz w:val="24"/>
      <w:szCs w:val="24"/>
    </w:rPr>
  </w:style>
  <w:style w:type="paragraph" w:styleId="Date">
    <w:name w:val="Date"/>
    <w:basedOn w:val="Title"/>
    <w:next w:val="BodyText"/>
    <w:uiPriority w:val="1"/>
    <w:qFormat/>
    <w:rsid w:val="23217492"/>
    <w:pPr>
      <w:keepNext w:val="true"/>
      <w:keepLines/>
    </w:pPr>
    <w:rPr>
      <w:b w:val="false"/>
      <w:bCs w:val="false"/>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uiPriority w:val="1"/>
    <w:qFormat/>
    <w:rsid w:val="23217492"/>
    <w:pPr>
      <w:keepNext w:val="true"/>
      <w:keepLines/>
      <w:spacing w:before="100" w:after="300"/>
    </w:pPr>
    <w:rPr>
      <w:rFonts w:ascii="Aptos" w:hAnsi="Aptos" w:eastAsia="" w:cs="" w:asciiTheme="minorAscii" w:cstheme="minorBidi" w:eastAsiaTheme="minorEastAsia" w:hAnsiTheme="minorAscii"/>
      <w:sz w:val="24"/>
      <w:szCs w:val="24"/>
    </w:rPr>
  </w:style>
  <w:style w:type="paragraph" w:styleId="Bibliography">
    <w:name w:val="Bibliography"/>
    <w:basedOn w:val="BodyText"/>
    <w:uiPriority w:val="1"/>
    <w:qFormat/>
    <w:rsid w:val="23217492"/>
    <w:pPr/>
    <w:rPr>
      <w:rFonts w:ascii="Aptos" w:hAnsi="Aptos" w:eastAsia="" w:cs="" w:asciiTheme="minorAscii" w:cstheme="minorBidi" w:eastAsiaTheme="minorEastAsia" w:hAnsiTheme="minorAscii"/>
      <w:sz w:val="24"/>
      <w:szCs w:val="24"/>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rsid w:val="23217492"/>
    <w:pPr>
      <w:spacing w:lineRule="auto" w:line="259" w:before="240" w:after="80"/>
    </w:pPr>
    <w:rPr>
      <w:b w:val="false"/>
      <w:bCs w:val="false"/>
    </w:rPr>
  </w:style>
  <w:style w:type="paragraph" w:styleId="Quote">
    <w:name w:val="Quote"/>
    <w:basedOn w:val="Normal"/>
    <w:next w:val="Normal"/>
    <w:link w:val="QuoteChar"/>
    <w:uiPriority w:val="29"/>
    <w:qFormat/>
    <w:rsid w:val="23217492"/>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rsid w:val="23217492"/>
    <w:pP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Footer">
    <w:name w:val="footer"/>
    <w:basedOn w:val="Normal"/>
    <w:link w:val="FooterChar"/>
    <w:uiPriority w:val="99"/>
    <w:unhideWhenUsed/>
    <w:rsid w:val="23217492"/>
    <w:pPr>
      <w:spacing w:lineRule="auto" w:line="240" w:before="0" w:after="0"/>
    </w:pPr>
    <w:rPr/>
  </w:style>
  <w:style w:type="paragraph" w:styleId="Header">
    <w:name w:val="header"/>
    <w:basedOn w:val="Normal"/>
    <w:link w:val="HeaderChar"/>
    <w:uiPriority w:val="99"/>
    <w:unhideWhenUsed/>
    <w:rsid w:val="23217492"/>
    <w:pPr>
      <w:spacing w:lineRule="auto" w:line="240" w:before="0" w:after="0"/>
    </w:pPr>
    <w:rPr/>
  </w:style>
  <w:style w:type="paragraph" w:styleId="ListBullet2">
    <w:name w:val="List Bullet 2"/>
    <w:basedOn w:val="Normal"/>
    <w:uiPriority w:val="99"/>
    <w:unhideWhenUsed/>
    <w:rsid w:val="23217492"/>
    <w:pPr>
      <w:tabs>
        <w:tab w:val="clear" w:pos="720"/>
        <w:tab w:val="left" w:pos="643" w:leader="none"/>
      </w:tabs>
      <w:spacing w:before="0" w:after="200"/>
      <w:ind w:hanging="360" w:left="643"/>
      <w:contextualSpacing/>
    </w:pPr>
    <w:rPr/>
  </w:style>
  <w:style w:type="paragraph" w:styleId="ListBullet3">
    <w:name w:val="List Bullet 3"/>
    <w:basedOn w:val="Normal"/>
    <w:uiPriority w:val="99"/>
    <w:unhideWhenUsed/>
    <w:rsid w:val="23217492"/>
    <w:pPr>
      <w:tabs>
        <w:tab w:val="clear" w:pos="720"/>
        <w:tab w:val="left" w:pos="926" w:leader="none"/>
      </w:tabs>
      <w:spacing w:before="0" w:after="200"/>
      <w:ind w:hanging="360" w:left="926"/>
      <w:contextualSpacing/>
    </w:pPr>
    <w:rPr/>
  </w:style>
  <w:style w:type="paragraph" w:styleId="ListBullet4">
    <w:name w:val="List Bullet 4"/>
    <w:basedOn w:val="Normal"/>
    <w:uiPriority w:val="99"/>
    <w:unhideWhenUsed/>
    <w:rsid w:val="23217492"/>
    <w:pPr>
      <w:tabs>
        <w:tab w:val="clear" w:pos="720"/>
        <w:tab w:val="left" w:pos="1209" w:leader="none"/>
      </w:tabs>
      <w:spacing w:before="0" w:after="200"/>
      <w:ind w:hanging="360" w:left="1209"/>
      <w:contextualSpacing/>
    </w:pPr>
    <w:rPr/>
  </w:style>
  <w:style w:type="paragraph" w:styleId="ListBullet5">
    <w:name w:val="List Bullet 5"/>
    <w:basedOn w:val="Normal"/>
    <w:uiPriority w:val="99"/>
    <w:unhideWhenUsed/>
    <w:rsid w:val="23217492"/>
    <w:pPr>
      <w:tabs>
        <w:tab w:val="clear" w:pos="720"/>
        <w:tab w:val="left" w:pos="1492" w:leader="none"/>
      </w:tabs>
      <w:spacing w:before="0" w:after="200"/>
      <w:ind w:hanging="360" w:left="1492"/>
      <w:contextualSpacing/>
    </w:pPr>
    <w:rPr/>
  </w:style>
  <w:style w:type="paragraph" w:styleId="ListNumber2">
    <w:name w:val="List Number 2"/>
    <w:basedOn w:val="Normal"/>
    <w:uiPriority w:val="99"/>
    <w:unhideWhenUsed/>
    <w:rsid w:val="23217492"/>
    <w:pPr>
      <w:tabs>
        <w:tab w:val="clear" w:pos="720"/>
        <w:tab w:val="left" w:pos="643" w:leader="none"/>
      </w:tabs>
      <w:spacing w:before="0" w:after="200"/>
      <w:ind w:left="643"/>
      <w:contextualSpacing/>
    </w:pPr>
    <w:rPr/>
  </w:style>
  <w:style w:type="paragraph" w:styleId="ListNumber3">
    <w:name w:val="List Number 3"/>
    <w:basedOn w:val="Normal"/>
    <w:uiPriority w:val="99"/>
    <w:unhideWhenUsed/>
    <w:rsid w:val="23217492"/>
    <w:pPr>
      <w:tabs>
        <w:tab w:val="clear" w:pos="720"/>
        <w:tab w:val="left" w:pos="926" w:leader="none"/>
        <w:tab w:val="left" w:pos="1080" w:leader="none"/>
      </w:tabs>
      <w:spacing w:before="0" w:after="200"/>
      <w:ind w:hanging="360" w:left="1080"/>
      <w:contextualSpacing/>
    </w:pPr>
    <w:rPr/>
  </w:style>
  <w:style w:type="paragraph" w:styleId="ListNumber4">
    <w:name w:val="List Number 4"/>
    <w:basedOn w:val="Normal"/>
    <w:uiPriority w:val="99"/>
    <w:unhideWhenUsed/>
    <w:rsid w:val="23217492"/>
    <w:pPr>
      <w:tabs>
        <w:tab w:val="clear" w:pos="720"/>
        <w:tab w:val="left" w:pos="1209" w:leader="none"/>
      </w:tabs>
      <w:spacing w:before="0" w:after="200"/>
      <w:ind w:left="1209"/>
      <w:contextualSpacing/>
    </w:pPr>
    <w:rPr/>
  </w:style>
  <w:style w:type="paragraph" w:styleId="ListNumber5">
    <w:name w:val="List Number 5"/>
    <w:basedOn w:val="Normal"/>
    <w:uiPriority w:val="99"/>
    <w:unhideWhenUsed/>
    <w:rsid w:val="23217492"/>
    <w:pPr>
      <w:tabs>
        <w:tab w:val="clear" w:pos="720"/>
        <w:tab w:val="left" w:pos="1492" w:leader="none"/>
      </w:tabs>
      <w:spacing w:before="0" w:after="200"/>
      <w:ind w:left="1492"/>
      <w:contextualSpacing/>
    </w:pPr>
    <w:rPr/>
  </w:style>
  <w:style w:type="paragraph" w:styleId="MacroText">
    <w:name w:val="macro"/>
    <w:link w:val="MacroTextChar"/>
    <w:uiPriority w:val="99"/>
    <w:unhideWhenUsed/>
    <w:qFormat/>
    <w:rsid w:val="23217492"/>
    <w:pPr>
      <w:widowControl/>
      <w:suppressAutoHyphens w:val="true"/>
      <w:bidi w:val="0"/>
      <w:spacing w:before="0" w:after="0"/>
      <w:jc w:val="left"/>
    </w:pPr>
    <w:rPr>
      <w:rFonts w:ascii="Consolas" w:hAnsi="Consolas" w:eastAsia="" w:cs="" w:cstheme="minorBidi" w:eastAsiaTheme="minorEastAsia"/>
      <w:color w:val="auto"/>
      <w:kern w:val="0"/>
      <w:sz w:val="20"/>
      <w:szCs w:val="20"/>
      <w:lang w:val="en-US" w:eastAsia="zh-CN" w:bidi="ar-SA"/>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nikhil.m.patel@wfusm.edu" TargetMode="External"/><Relationship Id="rId3" Type="http://schemas.openxmlformats.org/officeDocument/2006/relationships/hyperlink" Target="https://github.com/nikhilpatelmd/ich-laterality" TargetMode="External"/><Relationship Id="rId4" Type="http://schemas.openxmlformats.org/officeDocument/2006/relationships/hyperlink" Target="https://doi.org/10.1161/01.STR.32.4.891" TargetMode="External"/><Relationship Id="rId5" Type="http://schemas.openxmlformats.org/officeDocument/2006/relationships/hyperlink" Target="https://doi.org/10.1056/NEJMra2201449" TargetMode="External"/><Relationship Id="rId6" Type="http://schemas.openxmlformats.org/officeDocument/2006/relationships/hyperlink" Target="https://doi.org/10.1056/NEJMoa2308440" TargetMode="External"/><Relationship Id="rId7" Type="http://schemas.openxmlformats.org/officeDocument/2006/relationships/hyperlink" Target="https://doi.org/10.1212/WNL.0000000000207735" TargetMode="External"/><Relationship Id="rId8" Type="http://schemas.openxmlformats.org/officeDocument/2006/relationships/hyperlink" Target="https://doi.org/10.1161/STR.0000000000000407" TargetMode="External"/><Relationship Id="rId9" Type="http://schemas.openxmlformats.org/officeDocument/2006/relationships/hyperlink" Target="https://doi.org/10.1212/01.wnl.0000167608.94237.aa" TargetMode="External"/><Relationship Id="rId10" Type="http://schemas.openxmlformats.org/officeDocument/2006/relationships/hyperlink" Target="https://doi.org/10.1016/S0140-6736(05)67024-9" TargetMode="External"/><Relationship Id="rId11" Type="http://schemas.openxmlformats.org/officeDocument/2006/relationships/hyperlink" Target="https://doi.org/10.1161/STROKEAHA.114.007385" TargetMode="External"/><Relationship Id="rId12" Type="http://schemas.openxmlformats.org/officeDocument/2006/relationships/hyperlink" Target="https://doi.org/10.3389/fneur.2021.774247" TargetMode="External"/><Relationship Id="rId13" Type="http://schemas.openxmlformats.org/officeDocument/2006/relationships/hyperlink" Target="https://doi.org/10.1186/s42466-022-00223-7" TargetMode="External"/><Relationship Id="rId14" Type="http://schemas.openxmlformats.org/officeDocument/2006/relationships/hyperlink" Target="https://doi.org/10.1161/01.STR.0000229899.66019.62" TargetMode="External"/><Relationship Id="rId15" Type="http://schemas.openxmlformats.org/officeDocument/2006/relationships/hyperlink" Target="https://doi.org/10.1159/000454775" TargetMode="External"/><Relationship Id="rId16" Type="http://schemas.openxmlformats.org/officeDocument/2006/relationships/hyperlink" Target="https://doi.org/10.1136/jnnp-2014-309870" TargetMode="External"/><Relationship Id="rId17" Type="http://schemas.openxmlformats.org/officeDocument/2006/relationships/hyperlink" Target="https://doi.org/10.1016/S0140-6736(24)00702-5" TargetMode="External"/><Relationship Id="rId18" Type="http://schemas.openxmlformats.org/officeDocument/2006/relationships/hyperlink" Target="https://doi.org/10.1007/s12028-011-9538-3" TargetMode="External"/><Relationship Id="rId19" Type="http://schemas.openxmlformats.org/officeDocument/2006/relationships/hyperlink" Target="https://doi.org/10.1056/NEJMoa1603460" TargetMode="External"/><Relationship Id="rId20" Type="http://schemas.openxmlformats.org/officeDocument/2006/relationships/hyperlink" Target="https://doi.org/10.1161/STROKEAHA.113.002332" TargetMode="External"/><Relationship Id="rId21" Type="http://schemas.openxmlformats.org/officeDocument/2006/relationships/hyperlink" Target="https://doi.org/10.1038/s41562-021-01177-7" TargetMode="External"/><Relationship Id="rId22" Type="http://schemas.openxmlformats.org/officeDocument/2006/relationships/hyperlink" Target="https://doi.org/10.1371/journal.pmed.0040297" TargetMode="External"/><Relationship Id="rId23" Type="http://schemas.openxmlformats.org/officeDocument/2006/relationships/hyperlink" Target="https://doi.org/10.1097/EDE.0000000000001758" TargetMode="External"/><Relationship Id="rId24" Type="http://schemas.openxmlformats.org/officeDocument/2006/relationships/hyperlink" Target="https://doi.org/10.1093/ije/dyaa213" TargetMode="External"/><Relationship Id="rId25" Type="http://schemas.openxmlformats.org/officeDocument/2006/relationships/hyperlink" Target="https://doi.org/10.1016/j.jclinepi.2016.04.014" TargetMode="External"/><Relationship Id="rId26" Type="http://schemas.openxmlformats.org/officeDocument/2006/relationships/hyperlink" Target="https://doi.org/10.1161/STROKEAHA.108.523365" TargetMode="External"/><Relationship Id="rId27" Type="http://schemas.openxmlformats.org/officeDocument/2006/relationships/hyperlink" Target="https://doi.org/10.1161/STROKEAHA.118.023102" TargetMode="External"/><Relationship Id="rId28" Type="http://schemas.openxmlformats.org/officeDocument/2006/relationships/hyperlink" Target="https://doi.org/10.1007/s12028-014-9956-0" TargetMode="External"/><Relationship Id="rId29" Type="http://schemas.openxmlformats.org/officeDocument/2006/relationships/hyperlink" Target="https://doi.org/10.1007/s12028-016-0362-7" TargetMode="External"/><Relationship Id="rId30" Type="http://schemas.openxmlformats.org/officeDocument/2006/relationships/hyperlink" Target="https://doi.org/10.1007/s12028-018-0586-9" TargetMode="Externa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30</TotalTime>
  <Application>LibreOffice/26.2.4.2$Linux_X86_64 LibreOffice_project/620$Build-2</Application>
  <AppVersion>15.0000</AppVersion>
  <Pages>34</Pages>
  <Words>5881</Words>
  <Characters>35190</Characters>
  <CharactersWithSpaces>40774</CharactersWithSpaces>
  <Paragraphs>370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2026-07-13T18:25:08Z</dcterms:created>
  <dc:creator/>
  <dc:description/>
  <dc:language>en-US</dc:language>
  <cp:lastModifiedBy/>
  <dcterms:modified xsi:type="dcterms:W3CDTF">2026-07-13T14:54:23Z</dcterms:modified>
  <cp:revision>2</cp:revision>
  <dc:subject/>
  <dc:title>Association of Hemispheric Laterality with Neurosurgical Intervention in Intracerebral Hemorrhage: A Post-Hoc Bayesian Analysis of ATACH-2 and ERICH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toc-title">
    <vt:lpwstr>Contents</vt:lpwstr>
  </property>
</Properties>
</file>