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rFonts w:ascii="Liberation Serif" w:hAnsi="Liberation Serif"/>
        </w:rPr>
      </w:pPr>
      <w:r>
        <w:rPr>
          <w:rFonts w:ascii="Liberation Serif" w:hAnsi="Liberation Serif"/>
        </w:rPr>
        <w:t>Association of Hemispheric Laterality with Neurosurgery in ICH: A Post-Hoc Bayesian Analysis of ATACH-2 and ERICH</w:t>
      </w:r>
    </w:p>
    <w:p>
      <w:pPr>
        <w:pStyle w:val="Heading1"/>
        <w:rPr>
          <w:rFonts w:ascii="Liberation Serif" w:hAnsi="Liberation Serif"/>
        </w:rPr>
      </w:pPr>
      <w:bookmarkStart w:id="0" w:name="details-of-statistical-analysis"/>
      <w:r>
        <w:rPr>
          <w:rFonts w:ascii="Liberation Serif" w:hAnsi="Liberation Serif"/>
        </w:rPr>
        <w:t>Details of Statistical Analysis</w:t>
      </w:r>
    </w:p>
    <w:p>
      <w:pPr>
        <w:pStyle w:val="Heading2"/>
        <w:rPr>
          <w:rFonts w:ascii="Liberation Serif" w:hAnsi="Liberation Serif"/>
        </w:rPr>
      </w:pPr>
      <w:bookmarkStart w:id="1" w:name="covariate-selection"/>
      <w:r>
        <w:rPr>
          <w:rFonts w:ascii="Liberation Serif" w:hAnsi="Liberation Serif"/>
        </w:rPr>
        <w:t>Covariate Selection</w:t>
      </w:r>
    </w:p>
    <w:p>
      <w:pPr>
        <w:pStyle w:val="Heading3"/>
        <w:rPr>
          <w:rFonts w:ascii="Liberation Serif" w:hAnsi="Liberation Serif"/>
        </w:rPr>
      </w:pPr>
      <w:bookmarkStart w:id="2" w:name="primary-and-secondary-outcomes"/>
      <w:r>
        <w:rPr>
          <w:rFonts w:ascii="Liberation Serif" w:hAnsi="Liberation Serif"/>
        </w:rPr>
        <w:t>Primary and Secondary Outcomes</w:t>
      </w:r>
    </w:p>
    <w:p>
      <w:pPr>
        <w:pStyle w:val="FirstParagraph"/>
        <w:rPr>
          <w:rFonts w:ascii="Liberation Serif" w:hAnsi="Liberation Serif"/>
        </w:rPr>
      </w:pPr>
      <w:r>
        <w:rPr>
          <w:rFonts w:ascii="Liberation Serif" w:hAnsi="Liberation Serif"/>
        </w:rPr>
        <w:t>For our primary outcome model we specified the following DAG:</w:t>
      </w:r>
    </w:p>
    <w:p>
      <w:pPr>
        <w:pStyle w:val="BodyText"/>
        <w:rPr>
          <w:rFonts w:ascii="Liberation Serif" w:hAnsi="Liberation Serif"/>
        </w:rPr>
      </w:pPr>
      <w:r>
        <w:rPr>
          <w:rFonts w:ascii="Liberation Serif" w:hAnsi="Liberation Serif"/>
        </w:rPr>
        <w:drawing>
          <wp:inline distT="0" distB="0" distL="0" distR="0">
            <wp:extent cx="5943600" cy="59436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5943600" cy="5943600"/>
                    </a:xfrm>
                    <a:prstGeom prst="rect">
                      <a:avLst/>
                    </a:prstGeom>
                    <a:noFill/>
                  </pic:spPr>
                </pic:pic>
              </a:graphicData>
            </a:graphic>
          </wp:inline>
        </w:drawing>
      </w:r>
    </w:p>
    <w:p>
      <w:pPr>
        <w:pStyle w:val="BodyText"/>
        <w:rPr>
          <w:rFonts w:ascii="Liberation Serif" w:hAnsi="Liberation Serif"/>
        </w:rPr>
      </w:pPr>
      <w:r>
        <w:rPr>
          <w:rFonts w:ascii="Liberation Serif" w:hAnsi="Liberation Serif"/>
        </w:rPr>
        <w:t>For neurosurgical intervention and all acute care secondary outcomes, the target estimand was the total effect of hemispheric laterality — the overall causal effect of laterality on the outcome, encompassing all pathways through which it operates. To reduce bias from measured confounding, we adjusted for baseline variables that independently influence both the clinical presentation associated with hemispheric laterality and the likelihood of intervention: age, admission Glasgow Coma Scale (GCS) score, ICH location, baseline ICH volume, and presence of intraventricular hemorrhage (IVH). These covariates act as confounders in the causal structure and were included to block backdoor paths, not to decompose direct and indirect effects.</w:t>
      </w:r>
    </w:p>
    <w:p>
      <w:pPr>
        <w:pStyle w:val="BodyText"/>
        <w:rPr>
          <w:rFonts w:ascii="Liberation Serif" w:hAnsi="Liberation Serif"/>
        </w:rPr>
      </w:pPr>
      <w:r>
        <w:rPr>
          <w:rFonts w:ascii="Liberation Serif" w:hAnsi="Liberation Serif"/>
        </w:rPr>
        <w:t>We chose not to adjust for National Institutes of Health Stroke Scale (NIHSS) for 2 reasons: 1) it is co-linear to GCS as both represent quantitative representations of the neurological exam, and 2) NIHSS is partly determined by lateralized deficits such as aphasia and neglect.</w:t>
      </w:r>
    </w:p>
    <w:p>
      <w:pPr>
        <w:pStyle w:val="BodyText"/>
        <w:rPr>
          <w:rFonts w:ascii="Liberation Serif" w:hAnsi="Liberation Serif"/>
        </w:rPr>
      </w:pPr>
      <w:r>
        <w:rPr>
          <w:rFonts w:ascii="Liberation Serif" w:hAnsi="Liberation Serif"/>
        </w:rPr>
        <w:t>Variables that lie downstream of ICH characteristics and on the causal pathway to surgical decisions — specifically midline shift, hydrocephalus, and eloquent-area involvement — were recognized as mediators and were deliberately excluded from the adjustment set. Conditioning on these variables would partially block the causal path under study and introduce over-adjustment bias.</w:t>
      </w:r>
      <w:r>
        <w:rPr>
          <w:rFonts w:ascii="Liberation Serif" w:hAnsi="Liberation Serif"/>
          <w:vertAlign w:val="superscript"/>
        </w:rPr>
        <w:t>1</w:t>
      </w:r>
      <w:bookmarkEnd w:id="2"/>
    </w:p>
    <w:p>
      <w:pPr>
        <w:pStyle w:val="Heading3"/>
        <w:rPr>
          <w:rFonts w:ascii="Liberation Serif" w:hAnsi="Liberation Serif"/>
        </w:rPr>
      </w:pPr>
      <w:bookmarkStart w:id="3" w:name="functional-outcomes"/>
      <w:r>
        <w:rPr>
          <w:rFonts w:ascii="Liberation Serif" w:hAnsi="Liberation Serif"/>
        </w:rPr>
        <w:t>Functional Outcomes</w:t>
      </w:r>
    </w:p>
    <w:p>
      <w:pPr>
        <w:pStyle w:val="FirstParagraph"/>
        <w:rPr>
          <w:rFonts w:ascii="Liberation Serif" w:hAnsi="Liberation Serif"/>
        </w:rPr>
      </w:pPr>
      <w:r>
        <w:rPr>
          <w:rFonts w:ascii="Liberation Serif" w:hAnsi="Liberation Serif"/>
        </w:rPr>
        <w:t>We specified the following DAG when examining functional outcomes (e.g., modified Rankin Scale and EuroQOL measures):</w:t>
      </w:r>
    </w:p>
    <w:p>
      <w:pPr>
        <w:pStyle w:val="BodyText"/>
        <w:rPr>
          <w:rFonts w:ascii="Liberation Serif" w:hAnsi="Liberation Serif"/>
        </w:rPr>
      </w:pPr>
      <w:r>
        <w:rPr>
          <w:rFonts w:ascii="Liberation Serif" w:hAnsi="Liberation Serif"/>
        </w:rPr>
        <w:drawing>
          <wp:inline distT="0" distB="0" distL="0" distR="0">
            <wp:extent cx="5943600" cy="540321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5403215"/>
                    </a:xfrm>
                    <a:prstGeom prst="rect">
                      <a:avLst/>
                    </a:prstGeom>
                    <a:noFill/>
                  </pic:spPr>
                </pic:pic>
              </a:graphicData>
            </a:graphic>
          </wp:inline>
        </w:drawing>
      </w:r>
    </w:p>
    <w:p>
      <w:pPr>
        <w:pStyle w:val="BodyText"/>
        <w:rPr>
          <w:rFonts w:ascii="Liberation Serif" w:hAnsi="Liberation Serif"/>
        </w:rPr>
      </w:pPr>
      <w:r>
        <w:rPr>
          <w:rFonts w:ascii="Liberation Serif" w:hAnsi="Liberation Serif"/>
        </w:rPr>
        <w:t>For functional outcomes, the target estimand was likewise the total effect of hemispheric laterality on 90-day modified Rankin Scale (mRS) and EuroQOL scores. This total effect encompasses all causal pathways from laterality to functional outcome, including those mediated through neurosurgical intervention, withdrawal of life-sustaining therapy, and participation in rehabilitation. These downstream treatment pathways are intrinsic to the clinical significance of hemispheric laterality and should not be blocked by conditioning on post-baseline treatment variables.</w:t>
      </w:r>
    </w:p>
    <w:p>
      <w:pPr>
        <w:pStyle w:val="BodyText"/>
        <w:rPr>
          <w:rFonts w:ascii="Liberation Serif" w:hAnsi="Liberation Serif"/>
        </w:rPr>
      </w:pPr>
      <w:r>
        <w:rPr>
          <w:rFonts w:ascii="Liberation Serif" w:hAnsi="Liberation Serif"/>
        </w:rPr>
        <w:t>Conditioning on neurosurgical intervention — a mediator on the causal pathway from laterality to functional outcome — would partially block this clinically relevant pathway and could introduce collider stratification bias by opening non-causal associations between laterality and outcome within strata of the mediator. Valid estimation of a controlled direct effect (i.e., the effect of laterality holding surgical management constant) would additionally require adjustment for all confounders of the mediator–outcome relationship, some of which may themselves be affected by the exposure, creating intermediate confounding that cannot be resolved through standard regression adjustment. Accordingly, functional outcome models were adjusted for age, admission GCS score, ICH location, baseline ICH volume, and presence of IVH, but did not include neurosurgical intervention or other post-baseline treatment variables as covariates.</w:t>
      </w:r>
      <w:r>
        <w:rPr>
          <w:rFonts w:ascii="Liberation Serif" w:hAnsi="Liberation Serif"/>
          <w:vertAlign w:val="superscript"/>
        </w:rPr>
        <w:t>1</w:t>
      </w:r>
      <w:bookmarkEnd w:id="1"/>
      <w:bookmarkEnd w:id="3"/>
    </w:p>
    <w:p>
      <w:pPr>
        <w:pStyle w:val="Heading2"/>
        <w:rPr>
          <w:rFonts w:ascii="Liberation Serif" w:hAnsi="Liberation Serif"/>
        </w:rPr>
      </w:pPr>
      <w:r>
        <w:rPr>
          <w:rFonts w:ascii="Liberation Serif" w:hAnsi="Liberation Serif"/>
        </w:rPr>
        <w:t>Priors</w:t>
      </w:r>
    </w:p>
    <w:p>
      <w:pPr>
        <w:pStyle w:val="Heading3"/>
        <w:rPr>
          <w:rFonts w:ascii="Liberation Serif" w:hAnsi="Liberation Serif"/>
        </w:rPr>
      </w:pPr>
      <w:bookmarkStart w:id="4" w:name="prior-distribution-definitions"/>
      <w:r>
        <w:rPr>
          <w:rFonts w:ascii="Liberation Serif" w:hAnsi="Liberation Serif"/>
        </w:rPr>
        <w:t>Prior Distribution Definitions</w:t>
      </w:r>
    </w:p>
    <w:p>
      <w:pPr>
        <w:pStyle w:val="FirstParagraph"/>
        <w:rPr>
          <w:rFonts w:ascii="Liberation Serif" w:hAnsi="Liberation Serif"/>
        </w:rPr>
      </w:pPr>
      <w:r>
        <w:rPr>
          <w:rFonts w:ascii="Liberation Serif" w:hAnsi="Liberation Serif"/>
        </w:rPr>
        <w:t>In defining prior distributions, we followed established recommendations for Bayesian modeling in critical care and clinical research.</w:t>
      </w:r>
      <w:r>
        <w:rPr>
          <w:rFonts w:ascii="Liberation Serif" w:hAnsi="Liberation Serif"/>
          <w:vertAlign w:val="superscript"/>
        </w:rPr>
        <w:t>2–4</w:t>
      </w:r>
      <w:r>
        <w:rPr>
          <w:rFonts w:ascii="Liberation Serif" w:hAnsi="Liberation Serif"/>
        </w:rPr>
        <w:t xml:space="preserve"> We defined four sets of prior distributions for the hemispheric laterality coefficient (i.e., the log-odds or log-incidence rate ratio assigned to right versus left hemisphere ICH) across all outcomes. Because the models include multiple covariates and a random study intercept, the priors describe the conditional laterality effect. The implications of these priors at the data level are characterized empirically through prior predictive checks, reported below.</w:t>
      </w:r>
    </w:p>
    <w:p>
      <w:pPr>
        <w:pStyle w:val="Normal"/>
        <w:numPr>
          <w:ilvl w:val="0"/>
          <w:numId w:val="1"/>
        </w:numPr>
        <w:rPr>
          <w:rFonts w:ascii="Liberation Serif" w:hAnsi="Liberation Serif"/>
        </w:rPr>
      </w:pPr>
      <w:r>
        <w:rPr>
          <w:rFonts w:ascii="Liberation Serif" w:hAnsi="Liberation Serif"/>
          <w:b/>
          <w:bCs/>
        </w:rPr>
        <w:t>Neutral prior:</w:t>
      </w:r>
      <w:r>
        <w:rPr>
          <w:rFonts w:ascii="Liberation Serif" w:hAnsi="Liberation Serif"/>
        </w:rPr>
        <w:t xml:space="preserve"> A weakly informative prior representing the null hypothesis of no laterality effect. The coefficient is assigned a Normal(0, 0.5) distribution. This places the expected conditional OR at 1, with 95% of the prior probability mass between 0.38 and 2.66.</w:t>
      </w:r>
    </w:p>
    <w:p>
      <w:pPr>
        <w:pStyle w:val="Normal"/>
        <w:numPr>
          <w:ilvl w:val="0"/>
          <w:numId w:val="1"/>
        </w:numPr>
        <w:rPr/>
      </w:pPr>
      <w:r>
        <w:rPr>
          <w:rFonts w:ascii="Liberation Serif" w:hAnsi="Liberation Serif"/>
          <w:b/>
          <w:bCs/>
        </w:rPr>
        <w:t>Left hemisphere prior:</w:t>
      </w:r>
      <w:r>
        <w:rPr>
          <w:rFonts w:ascii="Liberation Serif" w:hAnsi="Liberation Serif"/>
        </w:rPr>
        <w:t xml:space="preserve"> An informative prior assuming outcomes are more likely following left hemisphere ICH. A Normal(-0.22, 0.175) distribution is placed on the </w:t>
      </w:r>
      <w:r>
        <w:rPr>
          <w:rStyle w:val="VerbatimChar"/>
          <w:rFonts w:ascii="Liberation Serif" w:hAnsi="Liberation Serif"/>
        </w:rPr>
        <w:t>ich_lateralityRight</w:t>
      </w:r>
      <w:r>
        <w:rPr>
          <w:rFonts w:ascii="Liberation Serif" w:hAnsi="Liberation Serif"/>
        </w:rPr>
        <w:t xml:space="preserve"> coefficient. This corresponds to an expected conditional OR of 0.8 (95% prior probability mass: 0.57 to 1.13).</w:t>
      </w:r>
    </w:p>
    <w:p>
      <w:pPr>
        <w:pStyle w:val="Normal"/>
        <w:numPr>
          <w:ilvl w:val="0"/>
          <w:numId w:val="1"/>
        </w:numPr>
        <w:rPr/>
      </w:pPr>
      <w:r>
        <w:rPr>
          <w:rFonts w:ascii="Liberation Serif" w:hAnsi="Liberation Serif"/>
          <w:b/>
          <w:bCs/>
        </w:rPr>
        <w:t>Right hemisphere prior:</w:t>
      </w:r>
      <w:r>
        <w:rPr>
          <w:rFonts w:ascii="Liberation Serif" w:hAnsi="Liberation Serif"/>
        </w:rPr>
        <w:t xml:space="preserve"> An informative prior assuming outcomes are more likely following right hemisphere ICH. A Normal(0.18, 0.175) distribution is placed on the </w:t>
      </w:r>
      <w:r>
        <w:rPr>
          <w:rStyle w:val="VerbatimChar"/>
          <w:rFonts w:ascii="Liberation Serif" w:hAnsi="Liberation Serif"/>
        </w:rPr>
        <w:t>ich_lateralityRight</w:t>
      </w:r>
      <w:r>
        <w:rPr>
          <w:rFonts w:ascii="Liberation Serif" w:hAnsi="Liberation Serif"/>
        </w:rPr>
        <w:t xml:space="preserve"> coefficient. This corresponds to an expected conditional OR of 1.2 (95% prior probability mass: 0.85 to 1.69).</w:t>
      </w:r>
    </w:p>
    <w:p>
      <w:pPr>
        <w:pStyle w:val="Normal"/>
        <w:numPr>
          <w:ilvl w:val="0"/>
          <w:numId w:val="1"/>
        </w:numPr>
        <w:rPr>
          <w:rFonts w:ascii="Liberation Serif" w:hAnsi="Liberation Serif"/>
        </w:rPr>
      </w:pPr>
      <w:r>
        <w:rPr>
          <w:rFonts w:ascii="Liberation Serif" w:hAnsi="Liberation Serif"/>
          <w:b/>
          <w:bCs/>
        </w:rPr>
        <w:t>Diffuse prior:</w:t>
      </w:r>
      <w:r>
        <w:rPr>
          <w:rFonts w:ascii="Liberation Serif" w:hAnsi="Liberation Serif"/>
        </w:rPr>
        <w:t xml:space="preserve"> A vague prior intended to provide minimal information to the posterior. The coefficient is assigned a Normal(0, 5) distribution, corresponding to a conditional OR of 1 (95% prior probability mass: 0 to 1.803374^{4}). An exception applies to the zero-truncated negative binomial model (days of mechanical ventilation), where the diffuse prior standard deviation was restricted to 2 on the log scale to prevent prior predictive counts outside of plausible clinical ranges.</w:t>
      </w:r>
      <w:bookmarkEnd w:id="4"/>
    </w:p>
    <w:p>
      <w:pPr>
        <w:pStyle w:val="Heading3"/>
        <w:rPr>
          <w:rFonts w:ascii="Liberation Serif" w:hAnsi="Liberation Serif"/>
        </w:rPr>
      </w:pPr>
      <w:r>
        <w:rPr>
          <w:rFonts w:ascii="Liberation Serif" w:hAnsi="Liberation Serif"/>
        </w:rPr>
        <w:t>Prior Predictive Checks</w:t>
      </w:r>
    </w:p>
    <w:p>
      <w:pPr>
        <w:pStyle w:val="FirstParagraph"/>
        <w:rPr>
          <w:rFonts w:ascii="Liberation Serif" w:hAnsi="Liberation Serif"/>
        </w:rPr>
      </w:pPr>
      <w:r>
        <w:rPr>
          <w:rFonts w:ascii="Liberation Serif" w:hAnsi="Liberation Serif"/>
        </w:rPr>
        <w:t>Prior predictive checks were performed to understand the implications of the prior distributions before analyzing the data and ensuring the prior distributions represented plausible information regarding each outcome.</w:t>
      </w:r>
    </w:p>
    <w:p>
      <w:pPr>
        <w:pStyle w:val="Heading4"/>
        <w:rPr>
          <w:rFonts w:ascii="Liberation Serif" w:hAnsi="Liberation Serif"/>
        </w:rPr>
      </w:pPr>
      <w:r>
        <w:rPr>
          <w:rFonts w:ascii="Liberation Serif" w:hAnsi="Liberation Serif"/>
        </w:rPr>
        <w:t>Neutral Prior</w:t>
      </w:r>
    </w:p>
    <w:p>
      <w:pPr>
        <w:pStyle w:val="ImageCaption"/>
        <w:spacing w:before="200" w:after="120"/>
        <w:jc w:val="left"/>
        <w:rPr>
          <w:rFonts w:ascii="Liberation Serif" w:hAnsi="Liberation Serif"/>
        </w:rPr>
      </w:pPr>
      <w:r>
        <w:rPr>
          <w:rFonts w:ascii="Liberation Serif" w:hAnsi="Liberation Serif"/>
        </w:rPr>
        <w:t>Table 1: Prior predictive check results for neutral prior — aggressive care outcomes</w:t>
      </w:r>
    </w:p>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337"/>
        <w:gridCol w:w="1337"/>
        <w:gridCol w:w="1337"/>
        <w:gridCol w:w="1337"/>
        <w:gridCol w:w="1337"/>
        <w:gridCol w:w="1337"/>
        <w:gridCol w:w="1338"/>
      </w:tblGrid>
      <w:tr>
        <w:trPr>
          <w:tblHeader w:val="true"/>
          <w:cantSplit/>
        </w:trPr>
        <w:tc>
          <w:tcPr>
            <w:tcW w:w="1337" w:type="dxa"/>
            <w:tcBorders>
              <w:top w:val="single" w:sz="16" w:space="0" w:color="D3D3D3"/>
              <w:left w:val="single" w:sz="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Outcome</w:t>
            </w:r>
          </w:p>
        </w:tc>
        <w:tc>
          <w:tcPr>
            <w:tcW w:w="1337" w:type="dxa"/>
            <w:tcBorders>
              <w:top w:val="single" w:sz="16" w:space="0" w:color="D3D3D3"/>
              <w:left w:val="single" w:sz="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Left Hemisphere (Prior expected)</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Right Hemisphere (Prior expected)</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Prior aOR / IRR (95% CrI)</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Probability of difference (aOR &gt; 1)</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Probability of substantial difference (aOR &gt; 1.2)</w:t>
            </w:r>
          </w:p>
        </w:tc>
        <w:tc>
          <w:tcPr>
            <w:tcW w:w="1338" w:type="dxa"/>
            <w:tcBorders>
              <w:top w:val="single" w:sz="1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ROPE</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Neurosurgical Intervention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20.9% (1.8 - 86.1%)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22.0% (2.4 - 85.3%)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0.99 (0.68 - 1.49)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18%</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30%</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External Ventricular Drain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50.6% (32.7 - 83.1%)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49.7% (34.1 - 84.4%)</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0.99 (0.77 - 1.29)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46%</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Days of Mechanical Ventilation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8.3 (3 - 36.7)</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8.3 (3.1 - 36.3)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0.99 (0.91 - 1.08)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60%</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Tracheostomy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5.1% (0.0 - 24.6%)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5.7% (0.0 - 25.0%)</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 (0.49 - 1.72)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12%</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42%</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Withdrawal of Life-Sustaining Therapy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18.3% (0.8 - 47.8%)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18.9% (0.7 - 47.8%)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0.99 (0.49 - 1.32)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12%</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40%</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Early Withdrawal of Life-Sustaining Therapy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50.6% (32.7 - 83.1%)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49.7% (34.1 - 84.4%)</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0.99 (0.77 - 1.29)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46%</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DNR Order</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18.3% (0.8 - 47.8%)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18.9% (0.7 - 47.8%)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0.99 (0.49 - 1.32)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12%</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40%</w:t>
            </w:r>
          </w:p>
        </w:tc>
      </w:tr>
      <w:tr>
        <w:trPr>
          <w:cantSplit/>
        </w:trPr>
        <w:tc>
          <w:tcPr>
            <w:tcW w:w="9360" w:type="dxa"/>
            <w:gridSpan w:val="7"/>
            <w:tcBorders/>
          </w:tcPr>
          <w:p>
            <w:pPr>
              <w:pStyle w:val="Normal"/>
              <w:keepNext w:val="true"/>
              <w:spacing w:before="0" w:after="60"/>
              <w:rPr>
                <w:rFonts w:ascii="Liberation Serif" w:hAnsi="Liberation Serif"/>
              </w:rPr>
            </w:pPr>
            <w:r>
              <w:rPr>
                <w:rFonts w:ascii="Liberation Serif" w:hAnsi="Liberation Serif"/>
                <w:sz w:val="20"/>
              </w:rPr>
              <w:t>Values represent expected values simulated purely from the prior distributions before encountering the data. ROPE indicates region of practical equivalence (0.95 to 1.05); aOR, adjusted odds ratio; IRR, incidence rate ratio; and CrI, credible interval.</w:t>
            </w:r>
            <w:bookmarkStart w:id="5" w:name="tbl-2-neutral-prior-check"/>
            <w:bookmarkEnd w:id="5"/>
          </w:p>
        </w:tc>
      </w:tr>
    </w:tbl>
    <w:p>
      <w:pPr>
        <w:pStyle w:val="ImageCaption"/>
        <w:spacing w:before="200" w:after="120"/>
        <w:jc w:val="left"/>
        <w:rPr>
          <w:rFonts w:ascii="Liberation Serif" w:hAnsi="Liberation Serif"/>
        </w:rPr>
      </w:pPr>
      <w:r>
        <w:rPr>
          <w:rFonts w:ascii="Liberation Serif" w:hAnsi="Liberation Serif"/>
        </w:rPr>
        <w:t>Table 2: Prior predictive check results for neutral prior — functional outcomes</w:t>
      </w:r>
      <w:bookmarkStart w:id="6" w:name="neutral-prior"/>
      <w:bookmarkEnd w:id="6"/>
    </w:p>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872"/>
        <w:gridCol w:w="1872"/>
        <w:gridCol w:w="1872"/>
        <w:gridCol w:w="1872"/>
        <w:gridCol w:w="1872"/>
      </w:tblGrid>
      <w:tr>
        <w:trPr>
          <w:cantSplit/>
        </w:trPr>
        <w:tc>
          <w:tcPr>
            <w:tcW w:w="1872" w:type="dxa"/>
            <w:tcBorders>
              <w:top w:val="single" w:sz="16" w:space="0" w:color="D3D3D3"/>
              <w:left w:val="single" w:sz="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Outcome</w:t>
            </w:r>
          </w:p>
        </w:tc>
        <w:tc>
          <w:tcPr>
            <w:tcW w:w="1872"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Prior Effect Estimate (95% CrI)</w:t>
            </w:r>
          </w:p>
        </w:tc>
        <w:tc>
          <w:tcPr>
            <w:tcW w:w="1872"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Prior Prob. of any diff</w:t>
            </w:r>
          </w:p>
        </w:tc>
        <w:tc>
          <w:tcPr>
            <w:tcW w:w="1872"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Prior Prob. of substantial diff</w:t>
            </w:r>
          </w:p>
        </w:tc>
        <w:tc>
          <w:tcPr>
            <w:tcW w:w="1872" w:type="dxa"/>
            <w:tcBorders>
              <w:top w:val="single" w:sz="1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Prior ROPE</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Modified Rankin Score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1.00 (0.83 - 1.28)</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66%</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Mobility</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1.01 (0.93 - 1.17)</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72%</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Self-Care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1.01 (0.93 - 1.17)</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72%</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Usual Activities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1.01 (0.93 - 1.17)</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72%</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Pain/Discomfort</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1.01 (0.95 - 1.12)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74%</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Anxiety/Depression</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1.01 (0.95 - 1.12)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74%</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 VAS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-3.8 (-25.8 - 24.0)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w:t>
            </w:r>
          </w:p>
        </w:tc>
      </w:tr>
      <w:tr>
        <w:trPr>
          <w:cantSplit/>
        </w:trPr>
        <w:tc>
          <w:tcPr>
            <w:tcW w:w="9360" w:type="dxa"/>
            <w:gridSpan w:val="5"/>
            <w:tcBorders/>
          </w:tcPr>
          <w:p>
            <w:pPr>
              <w:pStyle w:val="Normal"/>
              <w:keepNext w:val="true"/>
              <w:spacing w:before="0" w:after="60"/>
              <w:rPr>
                <w:rFonts w:ascii="Liberation Serif" w:hAnsi="Liberation Serif"/>
              </w:rPr>
            </w:pPr>
            <w:r>
              <w:rPr>
                <w:rFonts w:ascii="Liberation Serif" w:hAnsi="Liberation Serif"/>
                <w:sz w:val="20"/>
              </w:rPr>
              <w:t>Values represent expected effects simulated purely from the prior distributions before encountering the data. Estimates are Prior Odds Ratios (aOR) for ordinal outcomes and Mean Differences for Euro VAS. ROPE indicates region of practical equivalence (0.95 to 1.05 for aOR; ± 2 points for Euro VAS).</w:t>
            </w:r>
            <w:bookmarkStart w:id="7" w:name="tbl-3-neutral-prior-check"/>
            <w:bookmarkEnd w:id="7"/>
          </w:p>
        </w:tc>
      </w:tr>
    </w:tbl>
    <w:p>
      <w:pPr>
        <w:pStyle w:val="Heading4"/>
        <w:rPr>
          <w:rFonts w:ascii="Liberation Serif" w:hAnsi="Liberation Serif"/>
        </w:rPr>
      </w:pPr>
      <w:r>
        <w:rPr>
          <w:rFonts w:ascii="Liberation Serif" w:hAnsi="Liberation Serif"/>
        </w:rPr>
        <w:t>Left Hemisphere Prior</w:t>
      </w:r>
    </w:p>
    <w:p>
      <w:pPr>
        <w:pStyle w:val="ImageCaption"/>
        <w:spacing w:before="200" w:after="120"/>
        <w:jc w:val="left"/>
        <w:rPr>
          <w:rFonts w:ascii="Liberation Serif" w:hAnsi="Liberation Serif"/>
        </w:rPr>
      </w:pPr>
      <w:r>
        <w:rPr>
          <w:rFonts w:ascii="Liberation Serif" w:hAnsi="Liberation Serif"/>
        </w:rPr>
        <w:t>Table 3: Prior predictive check results for left hemisphere prior — aggressive care outcomes</w:t>
      </w:r>
    </w:p>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337"/>
        <w:gridCol w:w="1337"/>
        <w:gridCol w:w="1337"/>
        <w:gridCol w:w="1337"/>
        <w:gridCol w:w="1337"/>
        <w:gridCol w:w="1337"/>
        <w:gridCol w:w="1338"/>
      </w:tblGrid>
      <w:tr>
        <w:trPr>
          <w:tblHeader w:val="true"/>
          <w:cantSplit/>
        </w:trPr>
        <w:tc>
          <w:tcPr>
            <w:tcW w:w="1337" w:type="dxa"/>
            <w:tcBorders>
              <w:top w:val="single" w:sz="16" w:space="0" w:color="D3D3D3"/>
              <w:left w:val="single" w:sz="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Outcome</w:t>
            </w:r>
          </w:p>
        </w:tc>
        <w:tc>
          <w:tcPr>
            <w:tcW w:w="1337" w:type="dxa"/>
            <w:tcBorders>
              <w:top w:val="single" w:sz="16" w:space="0" w:color="D3D3D3"/>
              <w:left w:val="single" w:sz="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Left Hemisphere (Prior expected)</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Right Hemisphere (Prior expected)</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Prior aOR / IRR (95% CrI)</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Probability of difference (aOR &gt; 1)</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Probability of substantial difference (aOR &gt; 1.2)</w:t>
            </w:r>
          </w:p>
        </w:tc>
        <w:tc>
          <w:tcPr>
            <w:tcW w:w="1338" w:type="dxa"/>
            <w:tcBorders>
              <w:top w:val="single" w:sz="1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ROPE</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Neurosurgical Intervention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21.2% (1.7 - 56.6%)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21.2% (2.1 - 51.9%)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0.98 (0.78 - 1.14)</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62%</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External Ventricular Drain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54.9% (29.5 - 81.0%)</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52.1% (30.9 - 74.8%)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0.97 (0.79 - 1.12)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74%</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Days of Mechanical Ventilation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4.3 (0.9 - 8.3)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3.4 (0.7 - 6.5)</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0.83 (0.62 - 1.11)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16%</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Tracheostomy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6.6% (0.0 - 51.6%)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6.9% (0.0 - 48.2%)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0.97 (0.69 - 1.04)</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52%</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Withdrawal of Life-Sustaining Therapy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26.2% (0.4 - 55.4%)</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26.9% (0.6 - 54.1%)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0.96 (0.69 - 1.03)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14%</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56%</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Early Withdrawal of Life-Sustaining Therapy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54.9% (29.5 - 81.0%)</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52.1% (30.9 - 74.8%)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0.97 (0.79 - 1.12)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74%</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DNR Order</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26.2% (0.4 - 55.4%)</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26.9% (0.6 - 54.1%)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0.96 (0.69 - 1.03)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14%</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56%</w:t>
            </w:r>
          </w:p>
        </w:tc>
      </w:tr>
      <w:tr>
        <w:trPr>
          <w:cantSplit/>
        </w:trPr>
        <w:tc>
          <w:tcPr>
            <w:tcW w:w="9360" w:type="dxa"/>
            <w:gridSpan w:val="7"/>
            <w:tcBorders/>
          </w:tcPr>
          <w:p>
            <w:pPr>
              <w:pStyle w:val="Normal"/>
              <w:keepNext w:val="true"/>
              <w:spacing w:before="0" w:after="60"/>
              <w:rPr>
                <w:rFonts w:ascii="Liberation Serif" w:hAnsi="Liberation Serif"/>
              </w:rPr>
            </w:pPr>
            <w:r>
              <w:rPr>
                <w:rFonts w:ascii="Liberation Serif" w:hAnsi="Liberation Serif"/>
                <w:sz w:val="20"/>
              </w:rPr>
              <w:t>Values represent expected values simulated purely from the prior distributions before encountering the data. ROPE indicates region of practical equivalence (0.95 to 1.05); aOR, adjusted odds ratio; IRR, incidence rate ratio; and CrI, credible interval.</w:t>
            </w:r>
            <w:bookmarkStart w:id="8" w:name="tbl-2-left-prior-check"/>
            <w:bookmarkEnd w:id="8"/>
          </w:p>
        </w:tc>
      </w:tr>
    </w:tbl>
    <w:p>
      <w:pPr>
        <w:pStyle w:val="ImageCaption"/>
        <w:spacing w:before="200" w:after="120"/>
        <w:jc w:val="left"/>
        <w:rPr>
          <w:rFonts w:ascii="Liberation Serif" w:hAnsi="Liberation Serif"/>
        </w:rPr>
      </w:pPr>
      <w:r>
        <w:rPr>
          <w:rFonts w:ascii="Liberation Serif" w:hAnsi="Liberation Serif"/>
        </w:rPr>
        <w:t>Table 4: Prior predictive check results for left hemisphere prior — functional outcomes</w:t>
      </w:r>
      <w:bookmarkStart w:id="9" w:name="left-hemisphere-prior"/>
      <w:bookmarkEnd w:id="9"/>
    </w:p>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872"/>
        <w:gridCol w:w="1872"/>
        <w:gridCol w:w="1872"/>
        <w:gridCol w:w="1872"/>
        <w:gridCol w:w="1872"/>
      </w:tblGrid>
      <w:tr>
        <w:trPr>
          <w:cantSplit/>
        </w:trPr>
        <w:tc>
          <w:tcPr>
            <w:tcW w:w="1872" w:type="dxa"/>
            <w:tcBorders>
              <w:top w:val="single" w:sz="16" w:space="0" w:color="D3D3D3"/>
              <w:left w:val="single" w:sz="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Outcome</w:t>
            </w:r>
          </w:p>
        </w:tc>
        <w:tc>
          <w:tcPr>
            <w:tcW w:w="1872"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Prior Effect Estimate (95% CrI)</w:t>
            </w:r>
          </w:p>
        </w:tc>
        <w:tc>
          <w:tcPr>
            <w:tcW w:w="1872"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Prior Prob. of any diff</w:t>
            </w:r>
          </w:p>
        </w:tc>
        <w:tc>
          <w:tcPr>
            <w:tcW w:w="1872"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Prior Prob. of substantial diff</w:t>
            </w:r>
          </w:p>
        </w:tc>
        <w:tc>
          <w:tcPr>
            <w:tcW w:w="1872" w:type="dxa"/>
            <w:tcBorders>
              <w:top w:val="single" w:sz="1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Prior ROPE</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Modified Rankin Score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1.00 (0.85 - 1.16)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58%</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80%</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Mobility</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1.00 (0.94 - 1.25)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82%</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Self-Care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1.00 (0.94 - 1.25)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82%</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Usual Activities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1.00 (0.94 - 1.25)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82%</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Pain/Discomfort</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1.00 (0.96 - 1.22)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90%</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Anxiety/Depression</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1.00 (0.96 - 1.22)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86%</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 VAS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1.5 (-20.2 - 14.8)</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28%</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22%</w:t>
            </w:r>
          </w:p>
        </w:tc>
      </w:tr>
      <w:tr>
        <w:trPr>
          <w:cantSplit/>
        </w:trPr>
        <w:tc>
          <w:tcPr>
            <w:tcW w:w="9360" w:type="dxa"/>
            <w:gridSpan w:val="5"/>
            <w:tcBorders/>
          </w:tcPr>
          <w:p>
            <w:pPr>
              <w:pStyle w:val="Normal"/>
              <w:keepNext w:val="true"/>
              <w:spacing w:before="0" w:after="60"/>
              <w:rPr>
                <w:rFonts w:ascii="Liberation Serif" w:hAnsi="Liberation Serif"/>
              </w:rPr>
            </w:pPr>
            <w:r>
              <w:rPr>
                <w:rFonts w:ascii="Liberation Serif" w:hAnsi="Liberation Serif"/>
                <w:sz w:val="20"/>
              </w:rPr>
              <w:t>Values represent expected effects simulated purely from the prior distributions before encountering the data. Estimates are Prior Odds Ratios (aOR) for ordinal outcomes and Mean Differences for Euro VAS. ROPE indicates region of practical equivalence (0.95 to 1.05 for aOR; ± 2 points for Euro VAS).</w:t>
            </w:r>
            <w:bookmarkStart w:id="10" w:name="tbl-3-left-prior-check"/>
            <w:bookmarkEnd w:id="10"/>
          </w:p>
        </w:tc>
      </w:tr>
    </w:tbl>
    <w:p>
      <w:pPr>
        <w:pStyle w:val="Heading4"/>
        <w:rPr>
          <w:rFonts w:ascii="Liberation Serif" w:hAnsi="Liberation Serif"/>
        </w:rPr>
      </w:pPr>
      <w:r>
        <w:rPr>
          <w:rFonts w:ascii="Liberation Serif" w:hAnsi="Liberation Serif"/>
        </w:rPr>
        <w:t>Right Hemisphere Prior</w:t>
      </w:r>
    </w:p>
    <w:p>
      <w:pPr>
        <w:pStyle w:val="ImageCaption"/>
        <w:spacing w:before="200" w:after="120"/>
        <w:jc w:val="left"/>
        <w:rPr>
          <w:rFonts w:ascii="Liberation Serif" w:hAnsi="Liberation Serif"/>
        </w:rPr>
      </w:pPr>
      <w:r>
        <w:rPr>
          <w:rFonts w:ascii="Liberation Serif" w:hAnsi="Liberation Serif"/>
        </w:rPr>
        <w:t>Table 5: Prior predictive check results for right hemisphere prior — aggressive care outcomes</w:t>
      </w:r>
    </w:p>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337"/>
        <w:gridCol w:w="1337"/>
        <w:gridCol w:w="1337"/>
        <w:gridCol w:w="1337"/>
        <w:gridCol w:w="1337"/>
        <w:gridCol w:w="1337"/>
        <w:gridCol w:w="1338"/>
      </w:tblGrid>
      <w:tr>
        <w:trPr>
          <w:tblHeader w:val="true"/>
          <w:cantSplit/>
        </w:trPr>
        <w:tc>
          <w:tcPr>
            <w:tcW w:w="1337" w:type="dxa"/>
            <w:tcBorders>
              <w:top w:val="single" w:sz="16" w:space="0" w:color="D3D3D3"/>
              <w:left w:val="single" w:sz="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Outcome</w:t>
            </w:r>
          </w:p>
        </w:tc>
        <w:tc>
          <w:tcPr>
            <w:tcW w:w="1337" w:type="dxa"/>
            <w:tcBorders>
              <w:top w:val="single" w:sz="16" w:space="0" w:color="D3D3D3"/>
              <w:left w:val="single" w:sz="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Left Hemisphere (Prior expected)</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Right Hemisphere (Prior expected)</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Prior aOR / IRR (95% CrI)</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Probability of difference (aOR &gt; 1)</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Probability of substantial difference (aOR &gt; 1.2)</w:t>
            </w:r>
          </w:p>
        </w:tc>
        <w:tc>
          <w:tcPr>
            <w:tcW w:w="1338" w:type="dxa"/>
            <w:tcBorders>
              <w:top w:val="single" w:sz="1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ROPE</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Neurosurgical Intervention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20.3% (3.9 - 49.9%)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22.8% (3.4 - 48.2%)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1.03 (0.96 - 1.21)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76%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62%</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External Ventricular Drain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45.0% (15.7 - 68.3%)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47.2% (14.3 - 68.1%)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1.02 (0.89 - 1.11)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70%</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64%</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Days of Mechanical Ventilation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5.6 (1.5 - 14.8)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6.2 (1.8 - 20.9)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1.16 (0.98 - 1.49)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46%</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16%</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Tracheostomy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5.3% (0.0 - 24.6%)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6.1% (0.0 - 25.6%)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1.05 (0.88 - 2.23)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74%</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18%</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52%</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Withdrawal of Life-Sustaining Therapy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25.5% (2.8 - 50.3%)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26.6% (3.7 - 52.0%)</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1.03 (0.93 - 2.06)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78%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12%</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56%</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Early Withdrawal of Life-Sustaining Therapy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45.0% (15.7 - 68.3%)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47.2% (14.3 - 68.1%)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1.02 (0.89 - 1.11)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70%</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64%</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DNR Order</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25.5% (2.8 - 50.3%)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26.6% (3.7 - 52.0%)</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1.03 (0.93 - 2.06)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78%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12%</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56%</w:t>
            </w:r>
          </w:p>
        </w:tc>
      </w:tr>
      <w:tr>
        <w:trPr>
          <w:cantSplit/>
        </w:trPr>
        <w:tc>
          <w:tcPr>
            <w:tcW w:w="9360" w:type="dxa"/>
            <w:gridSpan w:val="7"/>
            <w:tcBorders/>
          </w:tcPr>
          <w:p>
            <w:pPr>
              <w:pStyle w:val="Normal"/>
              <w:keepNext w:val="true"/>
              <w:spacing w:before="0" w:after="60"/>
              <w:rPr>
                <w:rFonts w:ascii="Liberation Serif" w:hAnsi="Liberation Serif"/>
              </w:rPr>
            </w:pPr>
            <w:r>
              <w:rPr>
                <w:rFonts w:ascii="Liberation Serif" w:hAnsi="Liberation Serif"/>
                <w:sz w:val="20"/>
              </w:rPr>
              <w:t>Values represent expected values simulated purely from the prior distributions before encountering the data. ROPE indicates region of practical equivalence (0.95 to 1.05); aOR, adjusted odds ratio; IRR, incidence rate ratio; and CrI, credible interval.</w:t>
            </w:r>
            <w:bookmarkStart w:id="11" w:name="tbl-2-right-prior-check"/>
            <w:bookmarkEnd w:id="11"/>
          </w:p>
        </w:tc>
      </w:tr>
    </w:tbl>
    <w:p>
      <w:pPr>
        <w:pStyle w:val="ImageCaption"/>
        <w:spacing w:before="200" w:after="120"/>
        <w:jc w:val="left"/>
        <w:rPr>
          <w:rFonts w:ascii="Liberation Serif" w:hAnsi="Liberation Serif"/>
        </w:rPr>
      </w:pPr>
      <w:r>
        <w:rPr>
          <w:rFonts w:ascii="Liberation Serif" w:hAnsi="Liberation Serif"/>
        </w:rPr>
        <w:t>Table 6: Prior predictive check results for right hemisphere prior — functional outcomes</w:t>
      </w:r>
      <w:bookmarkStart w:id="12" w:name="right-hemisphere-prior"/>
      <w:bookmarkEnd w:id="12"/>
    </w:p>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872"/>
        <w:gridCol w:w="1872"/>
        <w:gridCol w:w="1872"/>
        <w:gridCol w:w="1872"/>
        <w:gridCol w:w="1872"/>
      </w:tblGrid>
      <w:tr>
        <w:trPr>
          <w:cantSplit/>
        </w:trPr>
        <w:tc>
          <w:tcPr>
            <w:tcW w:w="1872" w:type="dxa"/>
            <w:tcBorders>
              <w:top w:val="single" w:sz="16" w:space="0" w:color="D3D3D3"/>
              <w:left w:val="single" w:sz="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Outcome</w:t>
            </w:r>
          </w:p>
        </w:tc>
        <w:tc>
          <w:tcPr>
            <w:tcW w:w="1872"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Prior Effect Estimate (95% CrI)</w:t>
            </w:r>
          </w:p>
        </w:tc>
        <w:tc>
          <w:tcPr>
            <w:tcW w:w="1872"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Prior Prob. of any diff</w:t>
            </w:r>
          </w:p>
        </w:tc>
        <w:tc>
          <w:tcPr>
            <w:tcW w:w="1872"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Prior Prob. of substantial diff</w:t>
            </w:r>
          </w:p>
        </w:tc>
        <w:tc>
          <w:tcPr>
            <w:tcW w:w="1872" w:type="dxa"/>
            <w:tcBorders>
              <w:top w:val="single" w:sz="1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Prior ROPE</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Modified Rankin Score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1.00 (0.83 - 1.27)</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68%</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Mobility</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1.00 (0.86 - 1.08)</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86%</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Self-Care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1.00 (0.86 - 1.08)</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86%</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Usual Activities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1.00 (0.86 - 1.08)</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86%</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Pain/Discomfort</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1.00 (0.92 - 1.06)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86%</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Anxiety/Depression</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1.00 (0.92 - 1.06)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88%</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 VAS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1.3 (-20.8 - 22.3)</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14%</w:t>
            </w:r>
          </w:p>
        </w:tc>
      </w:tr>
      <w:tr>
        <w:trPr>
          <w:cantSplit/>
        </w:trPr>
        <w:tc>
          <w:tcPr>
            <w:tcW w:w="9360" w:type="dxa"/>
            <w:gridSpan w:val="5"/>
            <w:tcBorders/>
          </w:tcPr>
          <w:p>
            <w:pPr>
              <w:pStyle w:val="Normal"/>
              <w:keepNext w:val="true"/>
              <w:spacing w:before="0" w:after="60"/>
              <w:rPr>
                <w:rFonts w:ascii="Liberation Serif" w:hAnsi="Liberation Serif"/>
              </w:rPr>
            </w:pPr>
            <w:r>
              <w:rPr>
                <w:rFonts w:ascii="Liberation Serif" w:hAnsi="Liberation Serif"/>
                <w:sz w:val="20"/>
              </w:rPr>
              <w:t>Values represent expected effects simulated purely from the prior distributions before encountering the data. Estimates are Prior Odds Ratios (aOR) for ordinal outcomes and Mean Differences for Euro VAS. ROPE indicates region of practical equivalence (0.95 to 1.05 for aOR; ± 2 points for Euro VAS).</w:t>
            </w:r>
            <w:bookmarkStart w:id="13" w:name="tbl-3-right-prior-check"/>
            <w:bookmarkEnd w:id="13"/>
          </w:p>
        </w:tc>
      </w:tr>
    </w:tbl>
    <w:p>
      <w:pPr>
        <w:pStyle w:val="Heading4"/>
        <w:rPr>
          <w:rFonts w:ascii="Liberation Serif" w:hAnsi="Liberation Serif"/>
        </w:rPr>
      </w:pPr>
      <w:r>
        <w:rPr>
          <w:rFonts w:ascii="Liberation Serif" w:hAnsi="Liberation Serif"/>
        </w:rPr>
        <w:t>Diffuse Prior</w:t>
      </w:r>
    </w:p>
    <w:p>
      <w:pPr>
        <w:pStyle w:val="ImageCaption"/>
        <w:spacing w:before="200" w:after="120"/>
        <w:jc w:val="left"/>
        <w:rPr>
          <w:rFonts w:ascii="Liberation Serif" w:hAnsi="Liberation Serif"/>
        </w:rPr>
      </w:pPr>
      <w:r>
        <w:rPr>
          <w:rFonts w:ascii="Liberation Serif" w:hAnsi="Liberation Serif"/>
        </w:rPr>
        <w:t>Table 7: Prior predictive check results for diffuse prior — aggressive care outcomes</w:t>
      </w:r>
    </w:p>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337"/>
        <w:gridCol w:w="1337"/>
        <w:gridCol w:w="1337"/>
        <w:gridCol w:w="1337"/>
        <w:gridCol w:w="1337"/>
        <w:gridCol w:w="1337"/>
        <w:gridCol w:w="1338"/>
      </w:tblGrid>
      <w:tr>
        <w:trPr>
          <w:tblHeader w:val="true"/>
          <w:cantSplit/>
        </w:trPr>
        <w:tc>
          <w:tcPr>
            <w:tcW w:w="1337" w:type="dxa"/>
            <w:tcBorders>
              <w:top w:val="single" w:sz="16" w:space="0" w:color="D3D3D3"/>
              <w:left w:val="single" w:sz="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Outcome</w:t>
            </w:r>
          </w:p>
        </w:tc>
        <w:tc>
          <w:tcPr>
            <w:tcW w:w="1337" w:type="dxa"/>
            <w:tcBorders>
              <w:top w:val="single" w:sz="16" w:space="0" w:color="D3D3D3"/>
              <w:left w:val="single" w:sz="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Left Hemisphere (Prior expected)</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Right Hemisphere (Prior expected)</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Prior aOR / IRR (95% CrI)</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Probability of difference (aOR &gt; 1)</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Probability of substantial difference (aOR &gt; 1.2)</w:t>
            </w:r>
          </w:p>
        </w:tc>
        <w:tc>
          <w:tcPr>
            <w:tcW w:w="1338" w:type="dxa"/>
            <w:tcBorders>
              <w:top w:val="single" w:sz="1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ROPE</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Neurosurgical Intervention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48.8% (27.8 - 68.4%)</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47.8% (30.0 - 66.6%)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0.99 (0.87 - 1.15)</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56%</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External Ventricular Drain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49.8% (30.9 - 70.7%)</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49.8% (33.4 - 67.3%)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1.03 (0.81 - 1.3)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28%</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Days of Mechanical Ventilation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3212.2 (37.3 - 521285)</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1830.2 (55.4 - 686812.3)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 (0.63 - 1.63)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50%</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22%</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26%</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Tracheostomy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40.0% (21.9 - 61.6%)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39.6% (23.7 - 62.0%)</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0.99 (0.79 - 1.25)</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28%</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Withdrawal of Life-Sustaining Therapy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43.0% (29.1 - 68.3%)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45.1% (30.6 - 62.8%)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 (0.75 - 1.19)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50%</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28%</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Early Withdrawal of Life-Sustaining Therapy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49.8% (30.9 - 70.7%)</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49.8% (33.4 - 67.3%)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1.03 (0.81 - 1.3)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28%</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DNR Order</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43.0% (29.1 - 68.3%)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45.1% (30.6 - 62.8%)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 (0.75 - 1.19)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50%</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28%</w:t>
            </w:r>
          </w:p>
        </w:tc>
      </w:tr>
      <w:tr>
        <w:trPr>
          <w:cantSplit/>
        </w:trPr>
        <w:tc>
          <w:tcPr>
            <w:tcW w:w="9360" w:type="dxa"/>
            <w:gridSpan w:val="7"/>
            <w:tcBorders/>
          </w:tcPr>
          <w:p>
            <w:pPr>
              <w:pStyle w:val="Normal"/>
              <w:keepNext w:val="true"/>
              <w:spacing w:before="0" w:after="60"/>
              <w:rPr>
                <w:rFonts w:ascii="Liberation Serif" w:hAnsi="Liberation Serif"/>
              </w:rPr>
            </w:pPr>
            <w:r>
              <w:rPr>
                <w:rFonts w:ascii="Liberation Serif" w:hAnsi="Liberation Serif"/>
                <w:sz w:val="20"/>
              </w:rPr>
              <w:t>Values represent expected values simulated purely from the prior distributions before encountering the data. ROPE indicates region of practical equivalence (0.95 to 1.05); aOR, adjusted odds ratio; IRR, incidence rate ratio; and CrI, credible interval.</w:t>
            </w:r>
            <w:bookmarkStart w:id="14" w:name="tbl-2-flat-prior-check"/>
            <w:bookmarkEnd w:id="14"/>
          </w:p>
        </w:tc>
      </w:tr>
    </w:tbl>
    <w:p>
      <w:pPr>
        <w:pStyle w:val="ImageCaption"/>
        <w:spacing w:before="200" w:after="120"/>
        <w:jc w:val="left"/>
        <w:rPr>
          <w:rFonts w:ascii="Liberation Serif" w:hAnsi="Liberation Serif"/>
        </w:rPr>
      </w:pPr>
      <w:r>
        <w:rPr>
          <w:rFonts w:ascii="Liberation Serif" w:hAnsi="Liberation Serif"/>
        </w:rPr>
        <w:t>Table 8: Prior predictive check results for diffuse prior — functional outcomes</w:t>
      </w:r>
      <w:bookmarkStart w:id="15" w:name="priors"/>
      <w:bookmarkStart w:id="16" w:name="prior-predictive-checks"/>
      <w:bookmarkStart w:id="17" w:name="diffuse-prior"/>
      <w:bookmarkEnd w:id="15"/>
      <w:bookmarkEnd w:id="16"/>
      <w:bookmarkEnd w:id="17"/>
    </w:p>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872"/>
        <w:gridCol w:w="1872"/>
        <w:gridCol w:w="1872"/>
        <w:gridCol w:w="1872"/>
        <w:gridCol w:w="1872"/>
      </w:tblGrid>
      <w:tr>
        <w:trPr>
          <w:cantSplit/>
        </w:trPr>
        <w:tc>
          <w:tcPr>
            <w:tcW w:w="1872" w:type="dxa"/>
            <w:tcBorders>
              <w:top w:val="single" w:sz="16" w:space="0" w:color="D3D3D3"/>
              <w:left w:val="single" w:sz="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Outcome</w:t>
            </w:r>
          </w:p>
        </w:tc>
        <w:tc>
          <w:tcPr>
            <w:tcW w:w="1872"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Prior Effect Estimate (95% CrI)</w:t>
            </w:r>
          </w:p>
        </w:tc>
        <w:tc>
          <w:tcPr>
            <w:tcW w:w="1872"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Prior Prob. of any diff</w:t>
            </w:r>
          </w:p>
        </w:tc>
        <w:tc>
          <w:tcPr>
            <w:tcW w:w="1872"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Prior Prob. of substantial diff</w:t>
            </w:r>
          </w:p>
        </w:tc>
        <w:tc>
          <w:tcPr>
            <w:tcW w:w="1872" w:type="dxa"/>
            <w:tcBorders>
              <w:top w:val="single" w:sz="1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Prior ROPE</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Modified Rankin Score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1.02 (0.01 - 136.98)</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Mobility</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0.96 (0.26 - 7.81)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22%</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Self-Care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0.96 (0.26 - 7.81)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22%</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Usual Activities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0.96 (0.26 - 7.81)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22%</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Pain/Discomfort</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1.01 (0.11 - 8.09)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16%</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Anxiety/Depression</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1.04 (0.10 - 8.47)</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14%</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 VAS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0.7 (-27.9 - 33.8)</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48%</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22%</w:t>
            </w:r>
          </w:p>
        </w:tc>
      </w:tr>
      <w:tr>
        <w:trPr>
          <w:cantSplit/>
        </w:trPr>
        <w:tc>
          <w:tcPr>
            <w:tcW w:w="9360" w:type="dxa"/>
            <w:gridSpan w:val="5"/>
            <w:tcBorders/>
          </w:tcPr>
          <w:p>
            <w:pPr>
              <w:pStyle w:val="Normal"/>
              <w:keepNext w:val="true"/>
              <w:spacing w:before="0" w:after="60"/>
              <w:rPr>
                <w:rFonts w:ascii="Liberation Serif" w:hAnsi="Liberation Serif"/>
              </w:rPr>
            </w:pPr>
            <w:r>
              <w:rPr>
                <w:rFonts w:ascii="Liberation Serif" w:hAnsi="Liberation Serif"/>
                <w:sz w:val="20"/>
              </w:rPr>
              <w:t>Values represent expected effects simulated purely from the prior distributions before encountering the data. Estimates are Prior Odds Ratios (aOR) for ordinal outcomes and Mean Differences for Euro VAS. ROPE indicates region of practical equivalence (0.95 to 1.05 for aOR; ± 2 points for Euro VAS).</w:t>
            </w:r>
            <w:bookmarkStart w:id="18" w:name="tbl-3-flat-prior-check"/>
            <w:bookmarkEnd w:id="18"/>
          </w:p>
        </w:tc>
      </w:tr>
    </w:tbl>
    <w:p>
      <w:pPr>
        <w:pStyle w:val="Heading2"/>
        <w:rPr>
          <w:rFonts w:ascii="Liberation Serif" w:hAnsi="Liberation Serif"/>
        </w:rPr>
      </w:pPr>
      <w:r>
        <w:rPr>
          <w:rFonts w:ascii="Liberation Serif" w:hAnsi="Liberation Serif"/>
        </w:rPr>
      </w:r>
    </w:p>
    <w:p>
      <w:pPr>
        <w:pStyle w:val="Heading2"/>
        <w:rPr>
          <w:rFonts w:ascii="Liberation Serif" w:hAnsi="Liberation Serif"/>
        </w:rPr>
      </w:pPr>
      <w:r>
        <w:rPr>
          <w:rFonts w:ascii="Liberation Serif" w:hAnsi="Liberation Serif"/>
        </w:rPr>
        <w:t>Missing Data Assessment</w:t>
      </w:r>
    </w:p>
    <w:p>
      <w:pPr>
        <w:pStyle w:val="FirstParagraph"/>
        <w:rPr>
          <w:rFonts w:ascii="Liberation Serif" w:hAnsi="Liberation Serif"/>
        </w:rPr>
      </w:pPr>
      <w:r>
        <w:rPr>
          <w:rFonts w:ascii="Liberation Serif" w:hAnsi="Liberation Serif"/>
        </w:rPr>
        <w:t>As described in the primary manuscript, the primary analysis used multiple imputation by chained equations (MICE) under a Missing at Random (MAR) assumption. This section provides detailed reporting of missingness patterns across the analytic cohort, assessments supporting the MAR assumption, and diagnostics evaluating the quality of the imputed datasets.</w:t>
      </w:r>
    </w:p>
    <w:p>
      <w:pPr>
        <w:pStyle w:val="Heading3"/>
        <w:rPr>
          <w:rFonts w:ascii="Liberation Serif" w:hAnsi="Liberation Serif"/>
        </w:rPr>
      </w:pPr>
      <w:r>
        <w:rPr>
          <w:rFonts w:ascii="Liberation Serif" w:hAnsi="Liberation Serif"/>
        </w:rPr>
        <w:t>Missingness for 90-Day Functional Outcomes by Laterality Group</w:t>
      </w:r>
    </w:p>
    <w:p>
      <w:pPr>
        <w:pStyle w:val="FirstParagraph"/>
        <w:rPr>
          <w:rFonts w:ascii="Liberation Serif" w:hAnsi="Liberation Serif"/>
        </w:rPr>
      </w:pPr>
      <w:r>
        <w:rPr>
          <w:rFonts w:ascii="Liberation Serif" w:hAnsi="Liberation Serif"/>
        </w:rPr>
        <w:t>Baseline covariates used in model adjustment (age, GCS, ICH volume, ICH location, IVH) had minimal missingness (&lt;1%). However, 90-day follow-up outcomes had more substantial missingness due to loss to follow-up and differences in outcome ascertainment between the ATACH-2 and ERICH study protocols. The table below summarizes missingness for each 90-day outcome by hemispheric laterality group.</w:t>
      </w:r>
    </w:p>
    <w:tbl>
      <w:tblPr>
        <w:tblW w:w="5000" w:type="pct"/>
        <w:jc w:val="left"/>
        <w:tblInd w:w="108" w:type="dxa"/>
        <w:tblLayout w:type="fixed"/>
        <w:tblCellMar>
          <w:top w:w="0" w:type="dxa"/>
          <w:left w:w="108" w:type="dxa"/>
          <w:bottom w:w="0" w:type="dxa"/>
          <w:right w:w="108" w:type="dxa"/>
        </w:tblCellMar>
      </w:tblPr>
      <w:tblGrid>
        <w:gridCol w:w="9360"/>
      </w:tblGrid>
      <w:tr>
        <w:trPr/>
        <w:tc>
          <w:tcPr>
            <w:tcW w:w="9360" w:type="dxa"/>
            <w:tcBorders/>
          </w:tcPr>
          <w:p>
            <w:pPr>
              <w:pStyle w:val="ImageCaption"/>
              <w:spacing w:before="200" w:after="120"/>
              <w:jc w:val="left"/>
              <w:rPr>
                <w:rFonts w:ascii="Liberation Serif" w:hAnsi="Liberation Serif"/>
              </w:rPr>
            </w:pPr>
            <w:r>
              <w:rPr>
                <w:rFonts w:ascii="Liberation Serif" w:hAnsi="Liberation Serif"/>
              </w:rPr>
              <w:t>Table 9: Missingness for 90-Day Outcomes by Hemispheric Laterality</w:t>
            </w:r>
            <w:bookmarkStart w:id="19" w:name="X7d726ae8039a900e86c27a264493d28b27756e3"/>
            <w:bookmarkEnd w:id="19"/>
          </w:p>
        </w:tc>
      </w:tr>
    </w:tbl>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3120"/>
        <w:gridCol w:w="3120"/>
        <w:gridCol w:w="3120"/>
      </w:tblGrid>
      <w:tr>
        <w:trPr>
          <w:tblHeader w:val="true"/>
          <w:cantSplit/>
        </w:trPr>
        <w:tc>
          <w:tcPr>
            <w:tcW w:w="3120" w:type="dxa"/>
            <w:tcBorders>
              <w:top w:val="single" w:sz="16" w:space="0" w:color="D3D3D3"/>
              <w:left w:val="single" w:sz="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Outcome</w:t>
            </w:r>
          </w:p>
        </w:tc>
        <w:tc>
          <w:tcPr>
            <w:tcW w:w="3120" w:type="dxa"/>
            <w:tcBorders>
              <w:top w:val="single" w:sz="16" w:space="0" w:color="D3D3D3"/>
              <w:bottom w:val="single" w:sz="16" w:space="0" w:color="D3D3D3"/>
            </w:tcBorders>
          </w:tcPr>
          <w:p>
            <w:pPr>
              <w:pStyle w:val="Normal"/>
              <w:keepNext w:val="true"/>
              <w:spacing w:before="0" w:after="60"/>
              <w:jc w:val="right"/>
              <w:rPr>
                <w:rFonts w:ascii="Liberation Serif" w:hAnsi="Liberation Serif"/>
              </w:rPr>
            </w:pPr>
            <w:r>
              <w:rPr>
                <w:rFonts w:ascii="Liberation Serif" w:hAnsi="Liberation Serif"/>
                <w:sz w:val="20"/>
              </w:rPr>
              <w:t>Left Hemisphere</w:t>
            </w:r>
          </w:p>
        </w:tc>
        <w:tc>
          <w:tcPr>
            <w:tcW w:w="3120" w:type="dxa"/>
            <w:tcBorders>
              <w:top w:val="single" w:sz="16" w:space="0" w:color="D3D3D3"/>
              <w:bottom w:val="single" w:sz="16" w:space="0" w:color="D3D3D3"/>
              <w:right w:val="single" w:sz="6" w:space="0" w:color="D3D3D3"/>
            </w:tcBorders>
          </w:tcPr>
          <w:p>
            <w:pPr>
              <w:pStyle w:val="Normal"/>
              <w:keepNext w:val="true"/>
              <w:spacing w:before="0" w:after="60"/>
              <w:jc w:val="right"/>
              <w:rPr>
                <w:rFonts w:ascii="Liberation Serif" w:hAnsi="Liberation Serif"/>
              </w:rPr>
            </w:pPr>
            <w:r>
              <w:rPr>
                <w:rFonts w:ascii="Liberation Serif" w:hAnsi="Liberation Serif"/>
                <w:sz w:val="20"/>
              </w:rPr>
              <w:t>Right Hemisphere</w:t>
            </w:r>
          </w:p>
        </w:tc>
      </w:tr>
      <w:tr>
        <w:trPr>
          <w:cantSplit/>
        </w:trPr>
        <w:tc>
          <w:tcPr>
            <w:tcW w:w="312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EQ-5D Anxiety/Depression</w:t>
            </w:r>
          </w:p>
        </w:tc>
        <w:tc>
          <w:tcPr>
            <w:tcW w:w="312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rFonts w:ascii="Liberation Serif" w:hAnsi="Liberation Serif"/>
              </w:rPr>
            </w:pPr>
            <w:r>
              <w:rPr>
                <w:rFonts w:ascii="Liberation Serif" w:hAnsi="Liberation Serif"/>
                <w:sz w:val="20"/>
              </w:rPr>
              <w:t>477/1720 (27.7%)</w:t>
            </w:r>
          </w:p>
        </w:tc>
        <w:tc>
          <w:tcPr>
            <w:tcW w:w="312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rFonts w:ascii="Liberation Serif" w:hAnsi="Liberation Serif"/>
              </w:rPr>
            </w:pPr>
            <w:r>
              <w:rPr>
                <w:rFonts w:ascii="Liberation Serif" w:hAnsi="Liberation Serif"/>
                <w:sz w:val="20"/>
              </w:rPr>
              <w:t>468/1757 (26.6%)</w:t>
            </w:r>
          </w:p>
        </w:tc>
      </w:tr>
      <w:tr>
        <w:trPr>
          <w:cantSplit/>
        </w:trPr>
        <w:tc>
          <w:tcPr>
            <w:tcW w:w="312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EQ-5D Mobility</w:t>
            </w:r>
          </w:p>
        </w:tc>
        <w:tc>
          <w:tcPr>
            <w:tcW w:w="312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rFonts w:ascii="Liberation Serif" w:hAnsi="Liberation Serif"/>
              </w:rPr>
            </w:pPr>
            <w:r>
              <w:rPr>
                <w:rFonts w:ascii="Liberation Serif" w:hAnsi="Liberation Serif"/>
                <w:sz w:val="20"/>
              </w:rPr>
              <w:t>463/1720 (26.9%)</w:t>
            </w:r>
          </w:p>
        </w:tc>
        <w:tc>
          <w:tcPr>
            <w:tcW w:w="312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rFonts w:ascii="Liberation Serif" w:hAnsi="Liberation Serif"/>
              </w:rPr>
            </w:pPr>
            <w:r>
              <w:rPr>
                <w:rFonts w:ascii="Liberation Serif" w:hAnsi="Liberation Serif"/>
                <w:sz w:val="20"/>
              </w:rPr>
              <w:t>455/1757 (25.9%)</w:t>
            </w:r>
          </w:p>
        </w:tc>
      </w:tr>
      <w:tr>
        <w:trPr>
          <w:cantSplit/>
        </w:trPr>
        <w:tc>
          <w:tcPr>
            <w:tcW w:w="312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EQ-5D Pain/Discomfort</w:t>
            </w:r>
          </w:p>
        </w:tc>
        <w:tc>
          <w:tcPr>
            <w:tcW w:w="312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rFonts w:ascii="Liberation Serif" w:hAnsi="Liberation Serif"/>
              </w:rPr>
            </w:pPr>
            <w:r>
              <w:rPr>
                <w:rFonts w:ascii="Liberation Serif" w:hAnsi="Liberation Serif"/>
                <w:sz w:val="20"/>
              </w:rPr>
              <w:t>470/1720 (27.3%)</w:t>
            </w:r>
          </w:p>
        </w:tc>
        <w:tc>
          <w:tcPr>
            <w:tcW w:w="312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rFonts w:ascii="Liberation Serif" w:hAnsi="Liberation Serif"/>
              </w:rPr>
            </w:pPr>
            <w:r>
              <w:rPr>
                <w:rFonts w:ascii="Liberation Serif" w:hAnsi="Liberation Serif"/>
                <w:sz w:val="20"/>
              </w:rPr>
              <w:t>466/1757 (26.5%)</w:t>
            </w:r>
          </w:p>
        </w:tc>
      </w:tr>
      <w:tr>
        <w:trPr>
          <w:cantSplit/>
        </w:trPr>
        <w:tc>
          <w:tcPr>
            <w:tcW w:w="312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EQ-5D Self-Care</w:t>
            </w:r>
          </w:p>
        </w:tc>
        <w:tc>
          <w:tcPr>
            <w:tcW w:w="312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rFonts w:ascii="Liberation Serif" w:hAnsi="Liberation Serif"/>
              </w:rPr>
            </w:pPr>
            <w:r>
              <w:rPr>
                <w:rFonts w:ascii="Liberation Serif" w:hAnsi="Liberation Serif"/>
                <w:sz w:val="20"/>
              </w:rPr>
              <w:t>463/1720 (26.9%)</w:t>
            </w:r>
          </w:p>
        </w:tc>
        <w:tc>
          <w:tcPr>
            <w:tcW w:w="312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rFonts w:ascii="Liberation Serif" w:hAnsi="Liberation Serif"/>
              </w:rPr>
            </w:pPr>
            <w:r>
              <w:rPr>
                <w:rFonts w:ascii="Liberation Serif" w:hAnsi="Liberation Serif"/>
                <w:sz w:val="20"/>
              </w:rPr>
              <w:t>455/1757 (25.9%)</w:t>
            </w:r>
          </w:p>
        </w:tc>
      </w:tr>
      <w:tr>
        <w:trPr>
          <w:cantSplit/>
        </w:trPr>
        <w:tc>
          <w:tcPr>
            <w:tcW w:w="312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EQ-5D Usual Activities</w:t>
            </w:r>
          </w:p>
        </w:tc>
        <w:tc>
          <w:tcPr>
            <w:tcW w:w="312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rFonts w:ascii="Liberation Serif" w:hAnsi="Liberation Serif"/>
              </w:rPr>
            </w:pPr>
            <w:r>
              <w:rPr>
                <w:rFonts w:ascii="Liberation Serif" w:hAnsi="Liberation Serif"/>
                <w:sz w:val="20"/>
              </w:rPr>
              <w:t>463/1720 (26.9%)</w:t>
            </w:r>
          </w:p>
        </w:tc>
        <w:tc>
          <w:tcPr>
            <w:tcW w:w="312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rFonts w:ascii="Liberation Serif" w:hAnsi="Liberation Serif"/>
              </w:rPr>
            </w:pPr>
            <w:r>
              <w:rPr>
                <w:rFonts w:ascii="Liberation Serif" w:hAnsi="Liberation Serif"/>
                <w:sz w:val="20"/>
              </w:rPr>
              <w:t>455/1757 (25.9%)</w:t>
            </w:r>
          </w:p>
        </w:tc>
      </w:tr>
      <w:tr>
        <w:trPr>
          <w:cantSplit/>
        </w:trPr>
        <w:tc>
          <w:tcPr>
            <w:tcW w:w="312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EQ-VAS at 90 Days</w:t>
            </w:r>
          </w:p>
        </w:tc>
        <w:tc>
          <w:tcPr>
            <w:tcW w:w="312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rFonts w:ascii="Liberation Serif" w:hAnsi="Liberation Serif"/>
              </w:rPr>
            </w:pPr>
            <w:r>
              <w:rPr>
                <w:rFonts w:ascii="Liberation Serif" w:hAnsi="Liberation Serif"/>
                <w:sz w:val="20"/>
              </w:rPr>
              <w:t>606/1720 (35.2%)</w:t>
            </w:r>
          </w:p>
        </w:tc>
        <w:tc>
          <w:tcPr>
            <w:tcW w:w="312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rFonts w:ascii="Liberation Serif" w:hAnsi="Liberation Serif"/>
              </w:rPr>
            </w:pPr>
            <w:r>
              <w:rPr>
                <w:rFonts w:ascii="Liberation Serif" w:hAnsi="Liberation Serif"/>
                <w:sz w:val="20"/>
              </w:rPr>
              <w:t>614/1757 (34.9%)</w:t>
            </w:r>
          </w:p>
        </w:tc>
      </w:tr>
      <w:tr>
        <w:trPr>
          <w:cantSplit/>
        </w:trPr>
        <w:tc>
          <w:tcPr>
            <w:tcW w:w="312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mRS at 90 Days</w:t>
            </w:r>
          </w:p>
        </w:tc>
        <w:tc>
          <w:tcPr>
            <w:tcW w:w="312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rFonts w:ascii="Liberation Serif" w:hAnsi="Liberation Serif"/>
              </w:rPr>
            </w:pPr>
            <w:r>
              <w:rPr>
                <w:rFonts w:ascii="Liberation Serif" w:hAnsi="Liberation Serif"/>
                <w:sz w:val="20"/>
              </w:rPr>
              <w:t>210/1720 (12.2%)</w:t>
            </w:r>
          </w:p>
        </w:tc>
        <w:tc>
          <w:tcPr>
            <w:tcW w:w="312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rFonts w:ascii="Liberation Serif" w:hAnsi="Liberation Serif"/>
              </w:rPr>
            </w:pPr>
            <w:r>
              <w:rPr>
                <w:rFonts w:ascii="Liberation Serif" w:hAnsi="Liberation Serif"/>
                <w:sz w:val="20"/>
              </w:rPr>
              <w:t>212/1757 (12.1%)</w:t>
            </w:r>
          </w:p>
        </w:tc>
      </w:tr>
      <w:tr>
        <w:trPr>
          <w:cantSplit/>
        </w:trPr>
        <w:tc>
          <w:tcPr>
            <w:tcW w:w="9360" w:type="dxa"/>
            <w:gridSpan w:val="3"/>
            <w:tcBorders/>
          </w:tcPr>
          <w:p>
            <w:pPr>
              <w:pStyle w:val="Normal"/>
              <w:keepNext w:val="true"/>
              <w:spacing w:before="0" w:after="60"/>
              <w:rPr>
                <w:rFonts w:ascii="Liberation Serif" w:hAnsi="Liberation Serif"/>
              </w:rPr>
            </w:pPr>
            <w:r>
              <w:rPr>
                <w:rFonts w:ascii="Liberation Serif" w:hAnsi="Liberation Serif"/>
                <w:sz w:val="20"/>
              </w:rPr>
              <w:t>Values are n missing / N total (%). mRS indicates modified Rankin Scale; EQ-VAS, European Quality of Life Visual Analog Scale; EQ-5D, European Quality of Life-5 Dimensions.</w:t>
            </w:r>
            <w:bookmarkStart w:id="20" w:name="tbl-missingness-summary"/>
            <w:bookmarkEnd w:id="20"/>
          </w:p>
        </w:tc>
      </w:tr>
    </w:tbl>
    <w:p>
      <w:pPr>
        <w:pStyle w:val="Heading3"/>
        <w:rPr>
          <w:rFonts w:ascii="Liberation Serif" w:hAnsi="Liberation Serif"/>
        </w:rPr>
      </w:pPr>
      <w:r>
        <w:rPr>
          <w:rFonts w:ascii="Liberation Serif" w:hAnsi="Liberation Serif"/>
        </w:rPr>
        <w:t>Missingness Patterns by Laterality and Study</w:t>
      </w:r>
    </w:p>
    <w:p>
      <w:pPr>
        <w:pStyle w:val="FirstParagraph"/>
        <w:rPr>
          <w:rFonts w:ascii="Liberation Serif" w:hAnsi="Liberation Serif"/>
        </w:rPr>
      </w:pPr>
      <w:r>
        <w:rPr>
          <w:rFonts w:ascii="Liberation Serif" w:hAnsi="Liberation Serif"/>
        </w:rPr>
        <w:t>The following figures show the percentage of missing data across all analysis variables, stratified by hemispheric laterality and by study. Missingness patterns were largely driven by differences between the ATACH-2 and ERICH study protocols rather than by hemispheric laterality.</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spacing w:before="36" w:after="36"/>
              <w:jc w:val="center"/>
              <w:rPr>
                <w:rFonts w:ascii="Liberation Serif" w:hAnsi="Liberation Serif"/>
              </w:rPr>
            </w:pPr>
            <w:bookmarkStart w:id="21" w:name="fig-missing-by-laterality"/>
            <w:r>
              <w:rPr>
                <w:rFonts w:ascii="Liberation Serif" w:hAnsi="Liberation Serif"/>
              </w:rPr>
              <w:drawing>
                <wp:inline distT="0" distB="0" distL="0" distR="0">
                  <wp:extent cx="4620260" cy="739203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620260" cy="7392035"/>
                          </a:xfrm>
                          <a:prstGeom prst="rect">
                            <a:avLst/>
                          </a:prstGeom>
                          <a:noFill/>
                        </pic:spPr>
                      </pic:pic>
                    </a:graphicData>
                  </a:graphic>
                </wp:inline>
              </w:drawing>
            </w:r>
          </w:p>
          <w:p>
            <w:pPr>
              <w:pStyle w:val="ImageCaption"/>
              <w:spacing w:before="200" w:after="120"/>
              <w:jc w:val="left"/>
              <w:rPr>
                <w:rFonts w:ascii="Liberation Serif" w:hAnsi="Liberation Serif"/>
              </w:rPr>
            </w:pPr>
            <w:r>
              <w:rPr>
                <w:rFonts w:ascii="Liberation Serif" w:hAnsi="Liberation Serif"/>
              </w:rPr>
              <w:t>Figure 1: Percentage of missing data by hemispheric laterality</w:t>
            </w:r>
            <w:bookmarkEnd w:id="21"/>
          </w:p>
        </w:tc>
      </w:tr>
      <w:tr>
        <w:trPr/>
        <w:tc>
          <w:tcPr>
            <w:tcW w:w="9360" w:type="dxa"/>
            <w:tcBorders/>
          </w:tcPr>
          <w:p>
            <w:pPr>
              <w:pStyle w:val="Compact"/>
              <w:spacing w:before="36" w:after="36"/>
              <w:jc w:val="center"/>
              <w:rPr>
                <w:rFonts w:ascii="Liberation Serif" w:hAnsi="Liberation Serif"/>
              </w:rPr>
            </w:pPr>
            <w:bookmarkStart w:id="22" w:name="fig-missing-by-study"/>
            <w:r>
              <w:rPr>
                <w:rFonts w:ascii="Liberation Serif" w:hAnsi="Liberation Serif"/>
              </w:rPr>
              <w:drawing>
                <wp:inline distT="0" distB="0" distL="0" distR="0">
                  <wp:extent cx="4620260" cy="739203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4620260" cy="7392035"/>
                          </a:xfrm>
                          <a:prstGeom prst="rect">
                            <a:avLst/>
                          </a:prstGeom>
                          <a:noFill/>
                        </pic:spPr>
                      </pic:pic>
                    </a:graphicData>
                  </a:graphic>
                </wp:inline>
              </w:drawing>
            </w:r>
          </w:p>
          <w:p>
            <w:pPr>
              <w:pStyle w:val="ImageCaption"/>
              <w:spacing w:before="200" w:after="120"/>
              <w:jc w:val="left"/>
              <w:rPr>
                <w:rFonts w:ascii="Liberation Serif" w:hAnsi="Liberation Serif"/>
              </w:rPr>
            </w:pPr>
            <w:r>
              <w:rPr>
                <w:rFonts w:ascii="Liberation Serif" w:hAnsi="Liberation Serif"/>
              </w:rPr>
              <w:t>Figure 2: Percentage of missing data by study</w:t>
            </w:r>
            <w:bookmarkEnd w:id="22"/>
          </w:p>
        </w:tc>
      </w:tr>
    </w:tbl>
    <w:p>
      <w:pPr>
        <w:pStyle w:val="Heading3"/>
        <w:rPr>
          <w:rFonts w:ascii="Liberation Serif" w:hAnsi="Liberation Serif"/>
        </w:rPr>
      </w:pPr>
      <w:r>
        <w:rPr>
          <w:rFonts w:ascii="Liberation Serif" w:hAnsi="Liberation Serif"/>
        </w:rPr>
        <w:t>Assessment of Missing at Random Assumption</w:t>
      </w:r>
    </w:p>
    <w:p>
      <w:pPr>
        <w:pStyle w:val="FirstParagraph"/>
        <w:rPr>
          <w:rFonts w:ascii="Liberation Serif" w:hAnsi="Liberation Serif"/>
        </w:rPr>
      </w:pPr>
      <w:r>
        <w:rPr>
          <w:rFonts w:ascii="Liberation Serif" w:hAnsi="Liberation Serif"/>
        </w:rPr>
        <w:t>To assess whether missingness in 90-day outcomes was associated with key baseline covariates, we generated shadow plots comparing the distribution of each covariate among patients with observed versus missing values. If the distributions are similar, this supports the MAR assumption — that missingness is conditionally independent of the unobserved outcome given the observed covariates.</w:t>
      </w:r>
    </w:p>
    <w:p>
      <w:pPr>
        <w:pStyle w:val="Heading4"/>
        <w:rPr>
          <w:rFonts w:ascii="Liberation Serif" w:hAnsi="Liberation Serif"/>
        </w:rPr>
      </w:pPr>
      <w:bookmarkStart w:id="23" w:name="mrs-at-90-days"/>
      <w:r>
        <w:rPr>
          <w:rFonts w:ascii="Liberation Serif" w:hAnsi="Liberation Serif"/>
        </w:rPr>
        <w:t>mRS at 90 Days</w:t>
      </w:r>
    </w:p>
    <w:p>
      <w:pPr>
        <w:pStyle w:val="FirstParagraph"/>
        <w:rPr>
          <w:rFonts w:ascii="Liberation Serif" w:hAnsi="Liberation Serif"/>
        </w:rPr>
      </w:pPr>
      <w:r>
        <w:rPr>
          <w:rFonts w:ascii="Liberation Serif" w:hAnsi="Liberation Serif"/>
        </w:rPr>
        <w:drawing>
          <wp:inline distT="0" distB="0" distL="0" distR="0">
            <wp:extent cx="4620260" cy="554418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4620260" cy="5544185"/>
                    </a:xfrm>
                    <a:prstGeom prst="rect">
                      <a:avLst/>
                    </a:prstGeom>
                    <a:noFill/>
                  </pic:spPr>
                </pic:pic>
              </a:graphicData>
            </a:graphic>
          </wp:inline>
        </w:drawing>
      </w:r>
    </w:p>
    <w:p>
      <w:pPr>
        <w:pStyle w:val="BodyText"/>
        <w:rPr>
          <w:rFonts w:ascii="Liberation Serif" w:hAnsi="Liberation Serif"/>
        </w:rPr>
      </w:pPr>
      <w:r>
        <w:rPr>
          <w:rFonts w:ascii="Liberation Serif" w:hAnsi="Liberation Serif"/>
        </w:rPr>
        <w:drawing>
          <wp:inline distT="0" distB="0" distL="0" distR="0">
            <wp:extent cx="4620260" cy="554418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4620260" cy="5544185"/>
                    </a:xfrm>
                    <a:prstGeom prst="rect">
                      <a:avLst/>
                    </a:prstGeom>
                    <a:noFill/>
                  </pic:spPr>
                </pic:pic>
              </a:graphicData>
            </a:graphic>
          </wp:inline>
        </w:drawing>
      </w:r>
    </w:p>
    <w:p>
      <w:pPr>
        <w:pStyle w:val="BodyText"/>
        <w:rPr>
          <w:rFonts w:ascii="Liberation Serif" w:hAnsi="Liberation Serif"/>
        </w:rPr>
      </w:pPr>
      <w:r>
        <w:rPr>
          <w:rFonts w:ascii="Liberation Serif" w:hAnsi="Liberation Serif"/>
        </w:rPr>
        <w:drawing>
          <wp:inline distT="0" distB="0" distL="0" distR="0">
            <wp:extent cx="4620260" cy="554418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4620260" cy="5544185"/>
                    </a:xfrm>
                    <a:prstGeom prst="rect">
                      <a:avLst/>
                    </a:prstGeom>
                    <a:noFill/>
                  </pic:spPr>
                </pic:pic>
              </a:graphicData>
            </a:graphic>
          </wp:inline>
        </w:drawing>
      </w:r>
      <w:bookmarkEnd w:id="23"/>
    </w:p>
    <w:p>
      <w:pPr>
        <w:pStyle w:val="Heading4"/>
        <w:rPr>
          <w:rFonts w:ascii="Liberation Serif" w:hAnsi="Liberation Serif"/>
        </w:rPr>
      </w:pPr>
      <w:bookmarkStart w:id="24" w:name="eq-vas-at-90-days"/>
      <w:r>
        <w:rPr>
          <w:rFonts w:ascii="Liberation Serif" w:hAnsi="Liberation Serif"/>
        </w:rPr>
        <w:t>EQ-VAS at 90 Days</w:t>
      </w:r>
    </w:p>
    <w:p>
      <w:pPr>
        <w:pStyle w:val="FirstParagraph"/>
        <w:rPr>
          <w:rFonts w:ascii="Liberation Serif" w:hAnsi="Liberation Serif"/>
        </w:rPr>
      </w:pPr>
      <w:r>
        <w:rPr>
          <w:rFonts w:ascii="Liberation Serif" w:hAnsi="Liberation Serif"/>
        </w:rPr>
        <w:drawing>
          <wp:inline distT="0" distB="0" distL="0" distR="0">
            <wp:extent cx="4620260" cy="554418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4620260" cy="5544185"/>
                    </a:xfrm>
                    <a:prstGeom prst="rect">
                      <a:avLst/>
                    </a:prstGeom>
                    <a:noFill/>
                  </pic:spPr>
                </pic:pic>
              </a:graphicData>
            </a:graphic>
          </wp:inline>
        </w:drawing>
      </w:r>
    </w:p>
    <w:p>
      <w:pPr>
        <w:pStyle w:val="BodyText"/>
        <w:rPr>
          <w:rFonts w:ascii="Liberation Serif" w:hAnsi="Liberation Serif"/>
        </w:rPr>
      </w:pPr>
      <w:r>
        <w:rPr>
          <w:rFonts w:ascii="Liberation Serif" w:hAnsi="Liberation Serif"/>
        </w:rPr>
        <w:drawing>
          <wp:inline distT="0" distB="0" distL="0" distR="0">
            <wp:extent cx="4620260" cy="554418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4620260" cy="5544185"/>
                    </a:xfrm>
                    <a:prstGeom prst="rect">
                      <a:avLst/>
                    </a:prstGeom>
                    <a:noFill/>
                  </pic:spPr>
                </pic:pic>
              </a:graphicData>
            </a:graphic>
          </wp:inline>
        </w:drawing>
      </w:r>
    </w:p>
    <w:p>
      <w:pPr>
        <w:pStyle w:val="BodyText"/>
        <w:rPr>
          <w:rFonts w:ascii="Liberation Serif" w:hAnsi="Liberation Serif"/>
        </w:rPr>
      </w:pPr>
      <w:r>
        <w:rPr>
          <w:rFonts w:ascii="Liberation Serif" w:hAnsi="Liberation Serif"/>
        </w:rPr>
        <w:drawing>
          <wp:inline distT="0" distB="0" distL="0" distR="0">
            <wp:extent cx="4620260" cy="554418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4620260" cy="5544185"/>
                    </a:xfrm>
                    <a:prstGeom prst="rect">
                      <a:avLst/>
                    </a:prstGeom>
                    <a:noFill/>
                  </pic:spPr>
                </pic:pic>
              </a:graphicData>
            </a:graphic>
          </wp:inline>
        </w:drawing>
      </w:r>
      <w:bookmarkEnd w:id="24"/>
    </w:p>
    <w:p>
      <w:pPr>
        <w:pStyle w:val="Heading3"/>
        <w:rPr>
          <w:rFonts w:ascii="Liberation Serif" w:hAnsi="Liberation Serif"/>
        </w:rPr>
      </w:pPr>
      <w:r>
        <w:rPr>
          <w:rFonts w:ascii="Liberation Serif" w:hAnsi="Liberation Serif"/>
        </w:rPr>
        <w:t>Imputation Diagnostics</w:t>
      </w:r>
    </w:p>
    <w:p>
      <w:pPr>
        <w:pStyle w:val="FirstParagraph"/>
        <w:rPr>
          <w:rFonts w:ascii="Liberation Serif" w:hAnsi="Liberation Serif"/>
        </w:rPr>
      </w:pPr>
      <w:r>
        <w:rPr>
          <w:rFonts w:ascii="Liberation Serif" w:hAnsi="Liberation Serif"/>
        </w:rPr>
        <w:t>The following figure presents diagnostic checks for the MICE imputation procedure, comparing the distributions of observed data against imputed values across the 20 imputed datasets. Consistency between the observed and imputed distributions supports the plausibility of the imputation model.</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spacing w:before="36" w:after="36"/>
              <w:jc w:val="center"/>
              <w:rPr>
                <w:rFonts w:ascii="Liberation Serif" w:hAnsi="Liberation Serif"/>
              </w:rPr>
            </w:pPr>
            <w:bookmarkStart w:id="25" w:name="fig-imputation-diagnostics"/>
            <w:r>
              <w:rPr>
                <w:rFonts w:ascii="Liberation Serif" w:hAnsi="Liberation Serif"/>
              </w:rPr>
              <w:drawing>
                <wp:inline distT="0" distB="0" distL="0" distR="0">
                  <wp:extent cx="4620260" cy="1108837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4620260" cy="11088370"/>
                          </a:xfrm>
                          <a:prstGeom prst="rect">
                            <a:avLst/>
                          </a:prstGeom>
                          <a:noFill/>
                        </pic:spPr>
                      </pic:pic>
                    </a:graphicData>
                  </a:graphic>
                </wp:inline>
              </w:drawing>
            </w:r>
          </w:p>
          <w:p>
            <w:pPr>
              <w:pStyle w:val="ImageCaption"/>
              <w:spacing w:before="200" w:after="120"/>
              <w:jc w:val="left"/>
              <w:rPr>
                <w:rFonts w:ascii="Liberation Serif" w:hAnsi="Liberation Serif"/>
              </w:rPr>
            </w:pPr>
            <w:r>
              <w:rPr>
                <w:rFonts w:ascii="Liberation Serif" w:hAnsi="Liberation Serif"/>
              </w:rPr>
              <w:t>Figure 3: Imputation diagnostic plots comparing observed and imputed distributions</w:t>
            </w:r>
            <w:bookmarkStart w:id="26" w:name="missing-data-assessment"/>
            <w:bookmarkStart w:id="27" w:name="imputation-diagnostics"/>
            <w:bookmarkEnd w:id="25"/>
            <w:bookmarkEnd w:id="26"/>
            <w:bookmarkEnd w:id="27"/>
          </w:p>
        </w:tc>
      </w:tr>
    </w:tbl>
    <w:p>
      <w:pPr>
        <w:pStyle w:val="Heading2"/>
        <w:rPr>
          <w:rFonts w:ascii="Liberation Serif" w:hAnsi="Liberation Serif"/>
        </w:rPr>
      </w:pPr>
      <w:r>
        <w:rPr>
          <w:rFonts w:ascii="Liberation Serif" w:hAnsi="Liberation Serif"/>
        </w:rPr>
        <w:t>Posterior Simulation Diagnostics</w:t>
      </w:r>
    </w:p>
    <w:p>
      <w:pPr>
        <w:pStyle w:val="FirstParagraph"/>
        <w:rPr>
          <w:rFonts w:ascii="Liberation Serif" w:hAnsi="Liberation Serif"/>
        </w:rPr>
      </w:pPr>
      <w:r>
        <w:rPr>
          <w:rFonts w:ascii="Liberation Serif" w:hAnsi="Liberation Serif"/>
        </w:rPr>
        <w:t>Posterior Simulation Checks To ensure the reliability and validity of our Bayesian models, we performed several posterior simulation checks.</w:t>
      </w:r>
    </w:p>
    <w:p>
      <w:pPr>
        <w:pStyle w:val="BodyText"/>
        <w:rPr>
          <w:rFonts w:ascii="Liberation Serif" w:hAnsi="Liberation Serif"/>
        </w:rPr>
      </w:pPr>
      <w:r>
        <w:rPr>
          <w:rFonts w:ascii="Liberation Serif" w:hAnsi="Liberation Serif"/>
        </w:rPr>
        <w:t>Chain Convergence: We assessed the convergence of the Markov Chain Monte Carlo (MCMC) chains by visually inspecting trace plots for each parameter. The trace plots showed that the chains were well-mixed and stationary, indicating that they had converged to a stable posterior distribution. Additionally, we calculated the R-hat statistic for all parameters, ensuring that all values were below 1.01, which confirms the convergence of the chains.</w:t>
      </w:r>
    </w:p>
    <w:p>
      <w:pPr>
        <w:pStyle w:val="BodyText"/>
        <w:rPr>
          <w:rFonts w:ascii="Liberation Serif" w:hAnsi="Liberation Serif"/>
        </w:rPr>
      </w:pPr>
      <w:r>
        <w:rPr>
          <w:rFonts w:ascii="Liberation Serif" w:hAnsi="Liberation Serif"/>
        </w:rPr>
        <w:t>Posterior Predictive Checks: We conducted posterior predictive checks to evaluate the model’s fit to the data. This involved simulating data from the posterior predictive distribution and comparing it to the observed data. The close correspondence between the simulated and observed data confirmed that our models provided a good fit to the underlying data structure.</w:t>
      </w:r>
    </w:p>
    <w:p>
      <w:pPr>
        <w:pStyle w:val="Heading3"/>
        <w:rPr>
          <w:rFonts w:ascii="Liberation Serif" w:hAnsi="Liberation Serif"/>
        </w:rPr>
      </w:pPr>
      <w:bookmarkStart w:id="28" w:name="mcmc-chain-convergence-and-resolution"/>
      <w:r>
        <w:rPr>
          <w:rFonts w:ascii="Liberation Serif" w:hAnsi="Liberation Serif"/>
        </w:rPr>
        <w:t>MCMC Chain Convergence and Resolution</w:t>
      </w:r>
    </w:p>
    <w:p>
      <w:pPr>
        <w:pStyle w:val="Heading4"/>
        <w:rPr>
          <w:rFonts w:ascii="Liberation Serif" w:hAnsi="Liberation Serif"/>
        </w:rPr>
      </w:pPr>
      <w:bookmarkStart w:id="29" w:name="neurosurgical-intervention"/>
      <w:r>
        <w:rPr>
          <w:rFonts w:ascii="Liberation Serif" w:hAnsi="Liberation Serif"/>
        </w:rPr>
        <w:t>Neurosurgical Intervention</w:t>
      </w:r>
    </w:p>
    <w:p>
      <w:pPr>
        <w:pStyle w:val="CaptionedFigure"/>
        <w:rPr>
          <w:rFonts w:ascii="Liberation Serif" w:hAnsi="Liberation Serif"/>
        </w:rPr>
      </w:pPr>
      <w:r>
        <w:rPr>
          <w:rFonts w:ascii="Liberation Serif" w:hAnsi="Liberation Serif"/>
        </w:rPr>
        <w:drawing>
          <wp:inline distT="0" distB="0" distL="0" distR="0">
            <wp:extent cx="4620260" cy="9239885"/>
            <wp:effectExtent l="0" t="0" r="0" b="0"/>
            <wp:docPr id="12" name="Image12" descr="Posterior diagnostic checks for Neurosurgical Interv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Posterior diagnostic checks for Neurosurgical Intervention"/>
                    <pic:cNvPicPr>
                      <a:picLocks noChangeAspect="1" noChangeArrowheads="1"/>
                    </pic:cNvPicPr>
                  </pic:nvPicPr>
                  <pic:blipFill>
                    <a:blip r:embed="rId13"/>
                    <a:stretch>
                      <a:fillRect/>
                    </a:stretch>
                  </pic:blipFill>
                  <pic:spPr bwMode="auto">
                    <a:xfrm>
                      <a:off x="0" y="0"/>
                      <a:ext cx="4620260" cy="923988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diagnostic checks for Neurosurgical Intervention</w:t>
      </w:r>
      <w:bookmarkEnd w:id="29"/>
    </w:p>
    <w:p>
      <w:pPr>
        <w:pStyle w:val="Heading4"/>
        <w:rPr>
          <w:rFonts w:ascii="Liberation Serif" w:hAnsi="Liberation Serif"/>
        </w:rPr>
      </w:pPr>
      <w:bookmarkStart w:id="30" w:name="ventriculostomy"/>
      <w:r>
        <w:rPr>
          <w:rFonts w:ascii="Liberation Serif" w:hAnsi="Liberation Serif"/>
        </w:rPr>
        <w:t>Ventriculostomy</w:t>
      </w:r>
    </w:p>
    <w:p>
      <w:pPr>
        <w:pStyle w:val="CaptionedFigure"/>
        <w:rPr>
          <w:rFonts w:ascii="Liberation Serif" w:hAnsi="Liberation Serif"/>
        </w:rPr>
      </w:pPr>
      <w:r>
        <w:rPr>
          <w:rFonts w:ascii="Liberation Serif" w:hAnsi="Liberation Serif"/>
        </w:rPr>
        <w:drawing>
          <wp:inline distT="0" distB="0" distL="0" distR="0">
            <wp:extent cx="4620260" cy="9239885"/>
            <wp:effectExtent l="0" t="0" r="0" b="0"/>
            <wp:docPr id="13" name="Image13" descr="Posterior diagnostic checks for Ventriculos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Posterior diagnostic checks for Ventriculostomy"/>
                    <pic:cNvPicPr>
                      <a:picLocks noChangeAspect="1" noChangeArrowheads="1"/>
                    </pic:cNvPicPr>
                  </pic:nvPicPr>
                  <pic:blipFill>
                    <a:blip r:embed="rId14"/>
                    <a:stretch>
                      <a:fillRect/>
                    </a:stretch>
                  </pic:blipFill>
                  <pic:spPr bwMode="auto">
                    <a:xfrm>
                      <a:off x="0" y="0"/>
                      <a:ext cx="4620260" cy="923988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diagnostic checks for Ventriculostomy</w:t>
      </w:r>
      <w:bookmarkEnd w:id="30"/>
    </w:p>
    <w:p>
      <w:pPr>
        <w:pStyle w:val="Heading4"/>
        <w:rPr>
          <w:rFonts w:ascii="Liberation Serif" w:hAnsi="Liberation Serif"/>
        </w:rPr>
      </w:pPr>
      <w:bookmarkStart w:id="31" w:name="tracheostomy"/>
      <w:r>
        <w:rPr>
          <w:rFonts w:ascii="Liberation Serif" w:hAnsi="Liberation Serif"/>
        </w:rPr>
        <w:t>Tracheostomy</w:t>
      </w:r>
    </w:p>
    <w:p>
      <w:pPr>
        <w:pStyle w:val="CaptionedFigure"/>
        <w:rPr>
          <w:rFonts w:ascii="Liberation Serif" w:hAnsi="Liberation Serif"/>
        </w:rPr>
      </w:pPr>
      <w:r>
        <w:rPr>
          <w:rFonts w:ascii="Liberation Serif" w:hAnsi="Liberation Serif"/>
        </w:rPr>
        <w:drawing>
          <wp:inline distT="0" distB="0" distL="0" distR="0">
            <wp:extent cx="4620260" cy="9239885"/>
            <wp:effectExtent l="0" t="0" r="0" b="0"/>
            <wp:docPr id="14" name="Image14" descr="Posterior diagnostic checks for Tracheos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Posterior diagnostic checks for Tracheostomy"/>
                    <pic:cNvPicPr>
                      <a:picLocks noChangeAspect="1" noChangeArrowheads="1"/>
                    </pic:cNvPicPr>
                  </pic:nvPicPr>
                  <pic:blipFill>
                    <a:blip r:embed="rId15"/>
                    <a:stretch>
                      <a:fillRect/>
                    </a:stretch>
                  </pic:blipFill>
                  <pic:spPr bwMode="auto">
                    <a:xfrm>
                      <a:off x="0" y="0"/>
                      <a:ext cx="4620260" cy="923988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diagnostic checks for Tracheostomy</w:t>
      </w:r>
      <w:bookmarkEnd w:id="31"/>
    </w:p>
    <w:p>
      <w:pPr>
        <w:pStyle w:val="Heading4"/>
        <w:rPr>
          <w:rFonts w:ascii="Liberation Serif" w:hAnsi="Liberation Serif"/>
        </w:rPr>
      </w:pPr>
      <w:bookmarkStart w:id="32" w:name="days-of-mechanical-ventilation"/>
      <w:r>
        <w:rPr>
          <w:rFonts w:ascii="Liberation Serif" w:hAnsi="Liberation Serif"/>
        </w:rPr>
        <w:t>Days of Mechanical Ventilation</w:t>
      </w:r>
    </w:p>
    <w:p>
      <w:pPr>
        <w:pStyle w:val="CaptionedFigure"/>
        <w:rPr>
          <w:rFonts w:ascii="Liberation Serif" w:hAnsi="Liberation Serif"/>
        </w:rPr>
      </w:pPr>
      <w:r>
        <w:rPr>
          <w:rFonts w:ascii="Liberation Serif" w:hAnsi="Liberation Serif"/>
        </w:rPr>
        <w:drawing>
          <wp:inline distT="0" distB="0" distL="0" distR="0">
            <wp:extent cx="4620260" cy="9239885"/>
            <wp:effectExtent l="0" t="0" r="0" b="0"/>
            <wp:docPr id="15" name="Image15" descr="Posterior diagnostic checks for Days of Mechanical Venti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Posterior diagnostic checks for Days of Mechanical Ventilation"/>
                    <pic:cNvPicPr>
                      <a:picLocks noChangeAspect="1" noChangeArrowheads="1"/>
                    </pic:cNvPicPr>
                  </pic:nvPicPr>
                  <pic:blipFill>
                    <a:blip r:embed="rId16"/>
                    <a:stretch>
                      <a:fillRect/>
                    </a:stretch>
                  </pic:blipFill>
                  <pic:spPr bwMode="auto">
                    <a:xfrm>
                      <a:off x="0" y="0"/>
                      <a:ext cx="4620260" cy="923988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diagnostic checks for Days of Mechanical Ventilation</w:t>
      </w:r>
      <w:bookmarkEnd w:id="32"/>
    </w:p>
    <w:p>
      <w:pPr>
        <w:pStyle w:val="Heading4"/>
        <w:rPr>
          <w:rFonts w:ascii="Liberation Serif" w:hAnsi="Liberation Serif"/>
        </w:rPr>
      </w:pPr>
      <w:bookmarkStart w:id="33" w:name="comfort-care"/>
      <w:r>
        <w:rPr>
          <w:rFonts w:ascii="Liberation Serif" w:hAnsi="Liberation Serif"/>
        </w:rPr>
        <w:t>Comfort Care</w:t>
      </w:r>
    </w:p>
    <w:p>
      <w:pPr>
        <w:pStyle w:val="CaptionedFigure"/>
        <w:rPr>
          <w:rFonts w:ascii="Liberation Serif" w:hAnsi="Liberation Serif"/>
        </w:rPr>
      </w:pPr>
      <w:r>
        <w:rPr>
          <w:rFonts w:ascii="Liberation Serif" w:hAnsi="Liberation Serif"/>
        </w:rPr>
        <w:drawing>
          <wp:inline distT="0" distB="0" distL="0" distR="0">
            <wp:extent cx="4620260" cy="9239885"/>
            <wp:effectExtent l="0" t="0" r="0" b="0"/>
            <wp:docPr id="16" name="Image16" descr="Posterior diagnostic checks for Comfort 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Posterior diagnostic checks for Comfort Care"/>
                    <pic:cNvPicPr>
                      <a:picLocks noChangeAspect="1" noChangeArrowheads="1"/>
                    </pic:cNvPicPr>
                  </pic:nvPicPr>
                  <pic:blipFill>
                    <a:blip r:embed="rId17"/>
                    <a:stretch>
                      <a:fillRect/>
                    </a:stretch>
                  </pic:blipFill>
                  <pic:spPr bwMode="auto">
                    <a:xfrm>
                      <a:off x="0" y="0"/>
                      <a:ext cx="4620260" cy="923988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diagnostic checks for Comfort Care</w:t>
      </w:r>
      <w:bookmarkEnd w:id="33"/>
    </w:p>
    <w:p>
      <w:pPr>
        <w:pStyle w:val="Heading4"/>
        <w:rPr>
          <w:rFonts w:ascii="Liberation Serif" w:hAnsi="Liberation Serif"/>
        </w:rPr>
      </w:pPr>
      <w:bookmarkStart w:id="34" w:name="early-wlst"/>
      <w:r>
        <w:rPr>
          <w:rFonts w:ascii="Liberation Serif" w:hAnsi="Liberation Serif"/>
        </w:rPr>
        <w:t>Early WLST</w:t>
      </w:r>
    </w:p>
    <w:p>
      <w:pPr>
        <w:pStyle w:val="CaptionedFigure"/>
        <w:rPr>
          <w:rFonts w:ascii="Liberation Serif" w:hAnsi="Liberation Serif"/>
        </w:rPr>
      </w:pPr>
      <w:r>
        <w:rPr>
          <w:rFonts w:ascii="Liberation Serif" w:hAnsi="Liberation Serif"/>
        </w:rPr>
        <w:drawing>
          <wp:inline distT="0" distB="0" distL="0" distR="0">
            <wp:extent cx="4620260" cy="9239885"/>
            <wp:effectExtent l="0" t="0" r="0" b="0"/>
            <wp:docPr id="17" name="Image17" descr="Posterior diagnostic checks for Early WL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Posterior diagnostic checks for Early WLST"/>
                    <pic:cNvPicPr>
                      <a:picLocks noChangeAspect="1" noChangeArrowheads="1"/>
                    </pic:cNvPicPr>
                  </pic:nvPicPr>
                  <pic:blipFill>
                    <a:blip r:embed="rId18"/>
                    <a:stretch>
                      <a:fillRect/>
                    </a:stretch>
                  </pic:blipFill>
                  <pic:spPr bwMode="auto">
                    <a:xfrm>
                      <a:off x="0" y="0"/>
                      <a:ext cx="4620260" cy="923988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diagnostic checks for Early WLST</w:t>
      </w:r>
      <w:bookmarkEnd w:id="34"/>
    </w:p>
    <w:p>
      <w:pPr>
        <w:pStyle w:val="Heading4"/>
        <w:rPr>
          <w:rFonts w:ascii="Liberation Serif" w:hAnsi="Liberation Serif"/>
        </w:rPr>
      </w:pPr>
      <w:bookmarkStart w:id="35" w:name="dnr"/>
      <w:r>
        <w:rPr>
          <w:rFonts w:ascii="Liberation Serif" w:hAnsi="Liberation Serif"/>
        </w:rPr>
        <w:t>DNR</w:t>
      </w:r>
    </w:p>
    <w:p>
      <w:pPr>
        <w:pStyle w:val="CaptionedFigure"/>
        <w:rPr>
          <w:rFonts w:ascii="Liberation Serif" w:hAnsi="Liberation Serif"/>
        </w:rPr>
      </w:pPr>
      <w:r>
        <w:rPr>
          <w:rFonts w:ascii="Liberation Serif" w:hAnsi="Liberation Serif"/>
        </w:rPr>
        <w:drawing>
          <wp:inline distT="0" distB="0" distL="0" distR="0">
            <wp:extent cx="4620260" cy="9239885"/>
            <wp:effectExtent l="0" t="0" r="0" b="0"/>
            <wp:docPr id="18" name="Image18" descr="Posterior diagnostic checks for DN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Posterior diagnostic checks for DNR"/>
                    <pic:cNvPicPr>
                      <a:picLocks noChangeAspect="1" noChangeArrowheads="1"/>
                    </pic:cNvPicPr>
                  </pic:nvPicPr>
                  <pic:blipFill>
                    <a:blip r:embed="rId19"/>
                    <a:stretch>
                      <a:fillRect/>
                    </a:stretch>
                  </pic:blipFill>
                  <pic:spPr bwMode="auto">
                    <a:xfrm>
                      <a:off x="0" y="0"/>
                      <a:ext cx="4620260" cy="923988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diagnostic checks for DNR</w:t>
      </w:r>
      <w:bookmarkEnd w:id="35"/>
    </w:p>
    <w:p>
      <w:pPr>
        <w:pStyle w:val="Heading4"/>
        <w:rPr>
          <w:rFonts w:ascii="Liberation Serif" w:hAnsi="Liberation Serif"/>
        </w:rPr>
      </w:pPr>
      <w:bookmarkStart w:id="36" w:name="mrs-90"/>
      <w:r>
        <w:rPr>
          <w:rFonts w:ascii="Liberation Serif" w:hAnsi="Liberation Serif"/>
        </w:rPr>
        <w:t>mRS 90</w:t>
      </w:r>
    </w:p>
    <w:p>
      <w:pPr>
        <w:pStyle w:val="CaptionedFigure"/>
        <w:rPr>
          <w:rFonts w:ascii="Liberation Serif" w:hAnsi="Liberation Serif"/>
        </w:rPr>
      </w:pPr>
      <w:r>
        <w:rPr>
          <w:rFonts w:ascii="Liberation Serif" w:hAnsi="Liberation Serif"/>
        </w:rPr>
        <w:drawing>
          <wp:inline distT="0" distB="0" distL="0" distR="0">
            <wp:extent cx="4620260" cy="9239885"/>
            <wp:effectExtent l="0" t="0" r="0" b="0"/>
            <wp:docPr id="19" name="Image19" descr="Posterior diagnostic checks for Modified Rankin Score at 90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Posterior diagnostic checks for Modified Rankin Score at 90 Days"/>
                    <pic:cNvPicPr>
                      <a:picLocks noChangeAspect="1" noChangeArrowheads="1"/>
                    </pic:cNvPicPr>
                  </pic:nvPicPr>
                  <pic:blipFill>
                    <a:blip r:embed="rId20"/>
                    <a:stretch>
                      <a:fillRect/>
                    </a:stretch>
                  </pic:blipFill>
                  <pic:spPr bwMode="auto">
                    <a:xfrm>
                      <a:off x="0" y="0"/>
                      <a:ext cx="4620260" cy="923988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diagnostic checks for Modified Rankin Score at 90 Days</w:t>
      </w:r>
      <w:bookmarkEnd w:id="36"/>
    </w:p>
    <w:p>
      <w:pPr>
        <w:pStyle w:val="Heading4"/>
        <w:rPr>
          <w:rFonts w:ascii="Liberation Serif" w:hAnsi="Liberation Serif"/>
        </w:rPr>
      </w:pPr>
      <w:bookmarkStart w:id="37" w:name="euroqol-mobility-90"/>
      <w:r>
        <w:rPr>
          <w:rFonts w:ascii="Liberation Serif" w:hAnsi="Liberation Serif"/>
        </w:rPr>
        <w:t>EuroQOL Mobility 90</w:t>
      </w:r>
    </w:p>
    <w:p>
      <w:pPr>
        <w:pStyle w:val="CaptionedFigure"/>
        <w:rPr>
          <w:rFonts w:ascii="Liberation Serif" w:hAnsi="Liberation Serif"/>
        </w:rPr>
      </w:pPr>
      <w:r>
        <w:rPr>
          <w:rFonts w:ascii="Liberation Serif" w:hAnsi="Liberation Serif"/>
        </w:rPr>
        <w:drawing>
          <wp:inline distT="0" distB="0" distL="0" distR="0">
            <wp:extent cx="4620260" cy="9239885"/>
            <wp:effectExtent l="0" t="0" r="0" b="0"/>
            <wp:docPr id="20" name="Image20" descr="Posterior diagnostic checks for EuroQOL — Mobility at 90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Posterior diagnostic checks for EuroQOL — Mobility at 90 Days"/>
                    <pic:cNvPicPr>
                      <a:picLocks noChangeAspect="1" noChangeArrowheads="1"/>
                    </pic:cNvPicPr>
                  </pic:nvPicPr>
                  <pic:blipFill>
                    <a:blip r:embed="rId21"/>
                    <a:stretch>
                      <a:fillRect/>
                    </a:stretch>
                  </pic:blipFill>
                  <pic:spPr bwMode="auto">
                    <a:xfrm>
                      <a:off x="0" y="0"/>
                      <a:ext cx="4620260" cy="923988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diagnostic checks for EuroQOL — Mobility at 90 Days</w:t>
      </w:r>
      <w:bookmarkEnd w:id="37"/>
    </w:p>
    <w:p>
      <w:pPr>
        <w:pStyle w:val="Heading4"/>
        <w:rPr>
          <w:rFonts w:ascii="Liberation Serif" w:hAnsi="Liberation Serif"/>
        </w:rPr>
      </w:pPr>
      <w:bookmarkStart w:id="38" w:name="euroqol-self-care-90"/>
      <w:r>
        <w:rPr>
          <w:rFonts w:ascii="Liberation Serif" w:hAnsi="Liberation Serif"/>
        </w:rPr>
        <w:t>EuroQOL Self-Care 90</w:t>
      </w:r>
    </w:p>
    <w:p>
      <w:pPr>
        <w:pStyle w:val="CaptionedFigure"/>
        <w:rPr>
          <w:rFonts w:ascii="Liberation Serif" w:hAnsi="Liberation Serif"/>
        </w:rPr>
      </w:pPr>
      <w:r>
        <w:rPr>
          <w:rFonts w:ascii="Liberation Serif" w:hAnsi="Liberation Serif"/>
        </w:rPr>
        <w:drawing>
          <wp:inline distT="0" distB="0" distL="0" distR="0">
            <wp:extent cx="4620260" cy="9239885"/>
            <wp:effectExtent l="0" t="0" r="0" b="0"/>
            <wp:docPr id="21" name="Image21" descr="Posterior diagnostic checks for EuroQOL — Self-Care at 90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Posterior diagnostic checks for EuroQOL — Self-Care at 90 Days"/>
                    <pic:cNvPicPr>
                      <a:picLocks noChangeAspect="1" noChangeArrowheads="1"/>
                    </pic:cNvPicPr>
                  </pic:nvPicPr>
                  <pic:blipFill>
                    <a:blip r:embed="rId22"/>
                    <a:stretch>
                      <a:fillRect/>
                    </a:stretch>
                  </pic:blipFill>
                  <pic:spPr bwMode="auto">
                    <a:xfrm>
                      <a:off x="0" y="0"/>
                      <a:ext cx="4620260" cy="923988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diagnostic checks for EuroQOL — Self-Care at 90 Days</w:t>
      </w:r>
      <w:bookmarkEnd w:id="38"/>
    </w:p>
    <w:p>
      <w:pPr>
        <w:pStyle w:val="Heading4"/>
        <w:rPr>
          <w:rFonts w:ascii="Liberation Serif" w:hAnsi="Liberation Serif"/>
        </w:rPr>
      </w:pPr>
      <w:bookmarkStart w:id="39" w:name="euroqol-usual-activities-90"/>
      <w:r>
        <w:rPr>
          <w:rFonts w:ascii="Liberation Serif" w:hAnsi="Liberation Serif"/>
        </w:rPr>
        <w:t>EuroQOL Usual Activities 90</w:t>
      </w:r>
    </w:p>
    <w:p>
      <w:pPr>
        <w:pStyle w:val="CaptionedFigure"/>
        <w:rPr>
          <w:rFonts w:ascii="Liberation Serif" w:hAnsi="Liberation Serif"/>
        </w:rPr>
      </w:pPr>
      <w:r>
        <w:rPr>
          <w:rFonts w:ascii="Liberation Serif" w:hAnsi="Liberation Serif"/>
        </w:rPr>
        <w:drawing>
          <wp:inline distT="0" distB="0" distL="0" distR="0">
            <wp:extent cx="4620260" cy="9239885"/>
            <wp:effectExtent l="0" t="0" r="0" b="0"/>
            <wp:docPr id="22" name="Image22" descr="Posterior diagnostic checks for EuroQOL — Usual Activities at 90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Posterior diagnostic checks for EuroQOL — Usual Activities at 90 Days"/>
                    <pic:cNvPicPr>
                      <a:picLocks noChangeAspect="1" noChangeArrowheads="1"/>
                    </pic:cNvPicPr>
                  </pic:nvPicPr>
                  <pic:blipFill>
                    <a:blip r:embed="rId23"/>
                    <a:stretch>
                      <a:fillRect/>
                    </a:stretch>
                  </pic:blipFill>
                  <pic:spPr bwMode="auto">
                    <a:xfrm>
                      <a:off x="0" y="0"/>
                      <a:ext cx="4620260" cy="923988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diagnostic checks for EuroQOL — Usual Activities at 90 Days</w:t>
      </w:r>
      <w:bookmarkEnd w:id="39"/>
    </w:p>
    <w:p>
      <w:pPr>
        <w:pStyle w:val="Heading4"/>
        <w:rPr>
          <w:rFonts w:ascii="Liberation Serif" w:hAnsi="Liberation Serif"/>
        </w:rPr>
      </w:pPr>
      <w:bookmarkStart w:id="40" w:name="euroqol-paindiscomfort-90"/>
      <w:r>
        <w:rPr>
          <w:rFonts w:ascii="Liberation Serif" w:hAnsi="Liberation Serif"/>
        </w:rPr>
        <w:t>EuroQOL Pain/Discomfort 90</w:t>
      </w:r>
    </w:p>
    <w:p>
      <w:pPr>
        <w:pStyle w:val="CaptionedFigure"/>
        <w:rPr>
          <w:rFonts w:ascii="Liberation Serif" w:hAnsi="Liberation Serif"/>
        </w:rPr>
      </w:pPr>
      <w:r>
        <w:rPr>
          <w:rFonts w:ascii="Liberation Serif" w:hAnsi="Liberation Serif"/>
        </w:rPr>
        <w:drawing>
          <wp:inline distT="0" distB="0" distL="0" distR="0">
            <wp:extent cx="4620260" cy="9239885"/>
            <wp:effectExtent l="0" t="0" r="0" b="0"/>
            <wp:docPr id="23" name="Image23" descr="Posterior diagnostic checks for EuroQOL — Pain/Discomfort at 90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Posterior diagnostic checks for EuroQOL — Pain/Discomfort at 90 Days"/>
                    <pic:cNvPicPr>
                      <a:picLocks noChangeAspect="1" noChangeArrowheads="1"/>
                    </pic:cNvPicPr>
                  </pic:nvPicPr>
                  <pic:blipFill>
                    <a:blip r:embed="rId24"/>
                    <a:stretch>
                      <a:fillRect/>
                    </a:stretch>
                  </pic:blipFill>
                  <pic:spPr bwMode="auto">
                    <a:xfrm>
                      <a:off x="0" y="0"/>
                      <a:ext cx="4620260" cy="923988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diagnostic checks for EuroQOL — Pain/Discomfort at 90 Days</w:t>
      </w:r>
      <w:bookmarkEnd w:id="40"/>
    </w:p>
    <w:p>
      <w:pPr>
        <w:pStyle w:val="Heading4"/>
        <w:rPr>
          <w:rFonts w:ascii="Liberation Serif" w:hAnsi="Liberation Serif"/>
        </w:rPr>
      </w:pPr>
      <w:bookmarkStart w:id="41" w:name="euroqol-anxietydepression-90"/>
      <w:r>
        <w:rPr>
          <w:rFonts w:ascii="Liberation Serif" w:hAnsi="Liberation Serif"/>
        </w:rPr>
        <w:t>EuroQOL Anxiety/Depression 90</w:t>
      </w:r>
    </w:p>
    <w:p>
      <w:pPr>
        <w:pStyle w:val="CaptionedFigure"/>
        <w:rPr>
          <w:rFonts w:ascii="Liberation Serif" w:hAnsi="Liberation Serif"/>
        </w:rPr>
      </w:pPr>
      <w:r>
        <w:rPr>
          <w:rFonts w:ascii="Liberation Serif" w:hAnsi="Liberation Serif"/>
        </w:rPr>
        <w:drawing>
          <wp:inline distT="0" distB="0" distL="0" distR="0">
            <wp:extent cx="4620260" cy="9239885"/>
            <wp:effectExtent l="0" t="0" r="0" b="0"/>
            <wp:docPr id="24" name="Image24" descr="Posterior diagnostic checks for EuroQOL — Anxiety/Depression at 90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Posterior diagnostic checks for EuroQOL — Anxiety/Depression at 90 Days"/>
                    <pic:cNvPicPr>
                      <a:picLocks noChangeAspect="1" noChangeArrowheads="1"/>
                    </pic:cNvPicPr>
                  </pic:nvPicPr>
                  <pic:blipFill>
                    <a:blip r:embed="rId25"/>
                    <a:stretch>
                      <a:fillRect/>
                    </a:stretch>
                  </pic:blipFill>
                  <pic:spPr bwMode="auto">
                    <a:xfrm>
                      <a:off x="0" y="0"/>
                      <a:ext cx="4620260" cy="923988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diagnostic checks for EuroQOL — Anxiety/Depression at 90 Days</w:t>
      </w:r>
      <w:bookmarkEnd w:id="41"/>
    </w:p>
    <w:p>
      <w:pPr>
        <w:pStyle w:val="Heading4"/>
        <w:rPr>
          <w:rFonts w:ascii="Liberation Serif" w:hAnsi="Liberation Serif"/>
        </w:rPr>
      </w:pPr>
      <w:bookmarkStart w:id="42" w:name="euroqol-vas-90"/>
      <w:r>
        <w:rPr>
          <w:rFonts w:ascii="Liberation Serif" w:hAnsi="Liberation Serif"/>
        </w:rPr>
        <w:t>EuroQOL VAS 90</w:t>
      </w:r>
    </w:p>
    <w:p>
      <w:pPr>
        <w:pStyle w:val="CaptionedFigure"/>
        <w:rPr>
          <w:rFonts w:ascii="Liberation Serif" w:hAnsi="Liberation Serif"/>
        </w:rPr>
      </w:pPr>
      <w:r>
        <w:rPr>
          <w:rFonts w:ascii="Liberation Serif" w:hAnsi="Liberation Serif"/>
        </w:rPr>
        <w:drawing>
          <wp:inline distT="0" distB="0" distL="0" distR="0">
            <wp:extent cx="4620260" cy="9239885"/>
            <wp:effectExtent l="0" t="0" r="0" b="0"/>
            <wp:docPr id="25" name="Image25" descr="Posterior diagnostic checks for EuroQOL — VAS at 90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Posterior diagnostic checks for EuroQOL — VAS at 90 Days"/>
                    <pic:cNvPicPr>
                      <a:picLocks noChangeAspect="1" noChangeArrowheads="1"/>
                    </pic:cNvPicPr>
                  </pic:nvPicPr>
                  <pic:blipFill>
                    <a:blip r:embed="rId26"/>
                    <a:stretch>
                      <a:fillRect/>
                    </a:stretch>
                  </pic:blipFill>
                  <pic:spPr bwMode="auto">
                    <a:xfrm>
                      <a:off x="0" y="0"/>
                      <a:ext cx="4620260" cy="923988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diagnostic checks for EuroQOL — VAS at 90 Days</w:t>
      </w:r>
      <w:bookmarkEnd w:id="28"/>
      <w:bookmarkEnd w:id="42"/>
    </w:p>
    <w:p>
      <w:pPr>
        <w:pStyle w:val="Heading3"/>
        <w:rPr>
          <w:rFonts w:ascii="Liberation Serif" w:hAnsi="Liberation Serif"/>
        </w:rPr>
      </w:pPr>
      <w:bookmarkStart w:id="43" w:name="posterior-predictive-checks"/>
      <w:r>
        <w:rPr>
          <w:rFonts w:ascii="Liberation Serif" w:hAnsi="Liberation Serif"/>
        </w:rPr>
        <w:t>Posterior predictive checks</w:t>
      </w:r>
    </w:p>
    <w:p>
      <w:pPr>
        <w:pStyle w:val="Heading4"/>
        <w:rPr>
          <w:rFonts w:ascii="Liberation Serif" w:hAnsi="Liberation Serif"/>
        </w:rPr>
      </w:pPr>
      <w:bookmarkStart w:id="44" w:name="neurosurgical-intervention-1"/>
      <w:r>
        <w:rPr>
          <w:rFonts w:ascii="Liberation Serif" w:hAnsi="Liberation Serif"/>
        </w:rPr>
        <w:t>Neurosurgical Intervention</w:t>
      </w:r>
    </w:p>
    <w:p>
      <w:pPr>
        <w:pStyle w:val="CaptionedFigure"/>
        <w:rPr>
          <w:rFonts w:ascii="Liberation Serif" w:hAnsi="Liberation Serif"/>
        </w:rPr>
      </w:pPr>
      <w:r>
        <w:rPr>
          <w:rFonts w:ascii="Liberation Serif" w:hAnsi="Liberation Serif"/>
        </w:rPr>
        <w:drawing>
          <wp:inline distT="0" distB="0" distL="0" distR="0">
            <wp:extent cx="4620260" cy="3696335"/>
            <wp:effectExtent l="0" t="0" r="0" b="0"/>
            <wp:docPr id="26" name="Image26" descr="Posterior predictive checks for Neurosurgical Interv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Posterior predictive checks for Neurosurgical Intervention"/>
                    <pic:cNvPicPr>
                      <a:picLocks noChangeAspect="1" noChangeArrowheads="1"/>
                    </pic:cNvPicPr>
                  </pic:nvPicPr>
                  <pic:blipFill>
                    <a:blip r:embed="rId27"/>
                    <a:stretch>
                      <a:fillRect/>
                    </a:stretch>
                  </pic:blipFill>
                  <pic:spPr bwMode="auto">
                    <a:xfrm>
                      <a:off x="0" y="0"/>
                      <a:ext cx="4620260" cy="369633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predictive checks for Neurosurgical Intervention</w:t>
      </w:r>
      <w:bookmarkEnd w:id="44"/>
    </w:p>
    <w:p>
      <w:pPr>
        <w:pStyle w:val="Heading4"/>
        <w:rPr>
          <w:rFonts w:ascii="Liberation Serif" w:hAnsi="Liberation Serif"/>
        </w:rPr>
      </w:pPr>
      <w:bookmarkStart w:id="45" w:name="ventriculostomy-1"/>
      <w:r>
        <w:rPr>
          <w:rFonts w:ascii="Liberation Serif" w:hAnsi="Liberation Serif"/>
        </w:rPr>
        <w:t>Ventriculostomy</w:t>
      </w:r>
    </w:p>
    <w:p>
      <w:pPr>
        <w:pStyle w:val="CaptionedFigure"/>
        <w:rPr>
          <w:rFonts w:ascii="Liberation Serif" w:hAnsi="Liberation Serif"/>
        </w:rPr>
      </w:pPr>
      <w:r>
        <w:rPr>
          <w:rFonts w:ascii="Liberation Serif" w:hAnsi="Liberation Serif"/>
        </w:rPr>
        <w:drawing>
          <wp:inline distT="0" distB="0" distL="0" distR="0">
            <wp:extent cx="4620260" cy="3696335"/>
            <wp:effectExtent l="0" t="0" r="0" b="0"/>
            <wp:docPr id="27" name="Image27" descr="Posterior predictive checks for Ventriculos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Posterior predictive checks for Ventriculostomy"/>
                    <pic:cNvPicPr>
                      <a:picLocks noChangeAspect="1" noChangeArrowheads="1"/>
                    </pic:cNvPicPr>
                  </pic:nvPicPr>
                  <pic:blipFill>
                    <a:blip r:embed="rId28"/>
                    <a:stretch>
                      <a:fillRect/>
                    </a:stretch>
                  </pic:blipFill>
                  <pic:spPr bwMode="auto">
                    <a:xfrm>
                      <a:off x="0" y="0"/>
                      <a:ext cx="4620260" cy="369633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predictive checks for Ventriculostomy</w:t>
      </w:r>
      <w:bookmarkEnd w:id="45"/>
    </w:p>
    <w:p>
      <w:pPr>
        <w:pStyle w:val="Heading4"/>
        <w:rPr>
          <w:rFonts w:ascii="Liberation Serif" w:hAnsi="Liberation Serif"/>
        </w:rPr>
      </w:pPr>
      <w:bookmarkStart w:id="46" w:name="tracheostomy-1"/>
      <w:r>
        <w:rPr>
          <w:rFonts w:ascii="Liberation Serif" w:hAnsi="Liberation Serif"/>
        </w:rPr>
        <w:t>Tracheostomy</w:t>
      </w:r>
    </w:p>
    <w:p>
      <w:pPr>
        <w:pStyle w:val="CaptionedFigure"/>
        <w:rPr>
          <w:rFonts w:ascii="Liberation Serif" w:hAnsi="Liberation Serif"/>
        </w:rPr>
      </w:pPr>
      <w:r>
        <w:rPr>
          <w:rFonts w:ascii="Liberation Serif" w:hAnsi="Liberation Serif"/>
        </w:rPr>
        <w:drawing>
          <wp:inline distT="0" distB="0" distL="0" distR="0">
            <wp:extent cx="4620260" cy="3696335"/>
            <wp:effectExtent l="0" t="0" r="0" b="0"/>
            <wp:docPr id="28" name="Image28" descr="Posterior predictive checks for Tracheos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Posterior predictive checks for Tracheostomy"/>
                    <pic:cNvPicPr>
                      <a:picLocks noChangeAspect="1" noChangeArrowheads="1"/>
                    </pic:cNvPicPr>
                  </pic:nvPicPr>
                  <pic:blipFill>
                    <a:blip r:embed="rId29"/>
                    <a:stretch>
                      <a:fillRect/>
                    </a:stretch>
                  </pic:blipFill>
                  <pic:spPr bwMode="auto">
                    <a:xfrm>
                      <a:off x="0" y="0"/>
                      <a:ext cx="4620260" cy="369633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predictive checks for Tracheostomy</w:t>
      </w:r>
      <w:bookmarkEnd w:id="46"/>
    </w:p>
    <w:p>
      <w:pPr>
        <w:pStyle w:val="Heading4"/>
        <w:rPr>
          <w:rFonts w:ascii="Liberation Serif" w:hAnsi="Liberation Serif"/>
        </w:rPr>
      </w:pPr>
      <w:bookmarkStart w:id="47" w:name="days-of-mechanical-ventilation-1"/>
      <w:r>
        <w:rPr>
          <w:rFonts w:ascii="Liberation Serif" w:hAnsi="Liberation Serif"/>
        </w:rPr>
        <w:t>Days of Mechanical Ventilation</w:t>
      </w:r>
    </w:p>
    <w:p>
      <w:pPr>
        <w:pStyle w:val="CaptionedFigure"/>
        <w:rPr>
          <w:rFonts w:ascii="Liberation Serif" w:hAnsi="Liberation Serif"/>
        </w:rPr>
      </w:pPr>
      <w:r>
        <w:rPr>
          <w:rFonts w:ascii="Liberation Serif" w:hAnsi="Liberation Serif"/>
        </w:rPr>
        <w:drawing>
          <wp:inline distT="0" distB="0" distL="0" distR="0">
            <wp:extent cx="4620260" cy="3696335"/>
            <wp:effectExtent l="0" t="0" r="0" b="0"/>
            <wp:docPr id="29" name="Image29" descr="Posterior predictive checks for Days of Mechanical Venti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Posterior predictive checks for Days of Mechanical Ventilation"/>
                    <pic:cNvPicPr>
                      <a:picLocks noChangeAspect="1" noChangeArrowheads="1"/>
                    </pic:cNvPicPr>
                  </pic:nvPicPr>
                  <pic:blipFill>
                    <a:blip r:embed="rId30"/>
                    <a:stretch>
                      <a:fillRect/>
                    </a:stretch>
                  </pic:blipFill>
                  <pic:spPr bwMode="auto">
                    <a:xfrm>
                      <a:off x="0" y="0"/>
                      <a:ext cx="4620260" cy="369633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predictive checks for Days of Mechanical Ventilation</w:t>
      </w:r>
      <w:bookmarkEnd w:id="47"/>
    </w:p>
    <w:p>
      <w:pPr>
        <w:pStyle w:val="Heading4"/>
        <w:rPr>
          <w:rFonts w:ascii="Liberation Serif" w:hAnsi="Liberation Serif"/>
        </w:rPr>
      </w:pPr>
      <w:bookmarkStart w:id="48" w:name="comfort-care-1"/>
      <w:r>
        <w:rPr>
          <w:rFonts w:ascii="Liberation Serif" w:hAnsi="Liberation Serif"/>
        </w:rPr>
        <w:t>Comfort Care</w:t>
      </w:r>
    </w:p>
    <w:p>
      <w:pPr>
        <w:pStyle w:val="CaptionedFigure"/>
        <w:rPr>
          <w:rFonts w:ascii="Liberation Serif" w:hAnsi="Liberation Serif"/>
        </w:rPr>
      </w:pPr>
      <w:r>
        <w:rPr>
          <w:rFonts w:ascii="Liberation Serif" w:hAnsi="Liberation Serif"/>
        </w:rPr>
        <w:drawing>
          <wp:inline distT="0" distB="0" distL="0" distR="0">
            <wp:extent cx="4620260" cy="3696335"/>
            <wp:effectExtent l="0" t="0" r="0" b="0"/>
            <wp:docPr id="30" name="Image30" descr="Posterior predictive checks for Comfort 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Posterior predictive checks for Comfort Care"/>
                    <pic:cNvPicPr>
                      <a:picLocks noChangeAspect="1" noChangeArrowheads="1"/>
                    </pic:cNvPicPr>
                  </pic:nvPicPr>
                  <pic:blipFill>
                    <a:blip r:embed="rId31"/>
                    <a:stretch>
                      <a:fillRect/>
                    </a:stretch>
                  </pic:blipFill>
                  <pic:spPr bwMode="auto">
                    <a:xfrm>
                      <a:off x="0" y="0"/>
                      <a:ext cx="4620260" cy="369633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predictive checks for Comfort Care</w:t>
      </w:r>
      <w:bookmarkEnd w:id="48"/>
    </w:p>
    <w:p>
      <w:pPr>
        <w:pStyle w:val="Heading4"/>
        <w:rPr>
          <w:rFonts w:ascii="Liberation Serif" w:hAnsi="Liberation Serif"/>
        </w:rPr>
      </w:pPr>
      <w:bookmarkStart w:id="49" w:name="early-wlst-1"/>
      <w:r>
        <w:rPr>
          <w:rFonts w:ascii="Liberation Serif" w:hAnsi="Liberation Serif"/>
        </w:rPr>
        <w:t>Early WLST</w:t>
      </w:r>
    </w:p>
    <w:p>
      <w:pPr>
        <w:pStyle w:val="CaptionedFigure"/>
        <w:rPr>
          <w:rFonts w:ascii="Liberation Serif" w:hAnsi="Liberation Serif"/>
        </w:rPr>
      </w:pPr>
      <w:r>
        <w:rPr>
          <w:rFonts w:ascii="Liberation Serif" w:hAnsi="Liberation Serif"/>
        </w:rPr>
        <w:drawing>
          <wp:inline distT="0" distB="0" distL="0" distR="0">
            <wp:extent cx="4620260" cy="3696335"/>
            <wp:effectExtent l="0" t="0" r="0" b="0"/>
            <wp:docPr id="31" name="Image31" descr="Posterior predictive checks for Early WL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Posterior predictive checks for Early WLST"/>
                    <pic:cNvPicPr>
                      <a:picLocks noChangeAspect="1" noChangeArrowheads="1"/>
                    </pic:cNvPicPr>
                  </pic:nvPicPr>
                  <pic:blipFill>
                    <a:blip r:embed="rId32"/>
                    <a:stretch>
                      <a:fillRect/>
                    </a:stretch>
                  </pic:blipFill>
                  <pic:spPr bwMode="auto">
                    <a:xfrm>
                      <a:off x="0" y="0"/>
                      <a:ext cx="4620260" cy="369633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predictive checks for Early WLST</w:t>
      </w:r>
      <w:bookmarkEnd w:id="49"/>
    </w:p>
    <w:p>
      <w:pPr>
        <w:pStyle w:val="Heading4"/>
        <w:rPr>
          <w:rFonts w:ascii="Liberation Serif" w:hAnsi="Liberation Serif"/>
        </w:rPr>
      </w:pPr>
      <w:bookmarkStart w:id="50" w:name="dnr-1"/>
      <w:r>
        <w:rPr>
          <w:rFonts w:ascii="Liberation Serif" w:hAnsi="Liberation Serif"/>
        </w:rPr>
        <w:t>DNR</w:t>
      </w:r>
    </w:p>
    <w:p>
      <w:pPr>
        <w:pStyle w:val="CaptionedFigure"/>
        <w:rPr>
          <w:rFonts w:ascii="Liberation Serif" w:hAnsi="Liberation Serif"/>
        </w:rPr>
      </w:pPr>
      <w:r>
        <w:rPr>
          <w:rFonts w:ascii="Liberation Serif" w:hAnsi="Liberation Serif"/>
        </w:rPr>
        <w:drawing>
          <wp:inline distT="0" distB="0" distL="0" distR="0">
            <wp:extent cx="4620260" cy="3696335"/>
            <wp:effectExtent l="0" t="0" r="0" b="0"/>
            <wp:docPr id="32" name="Image32" descr="Posterior predictive checks for DN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Posterior predictive checks for DNR"/>
                    <pic:cNvPicPr>
                      <a:picLocks noChangeAspect="1" noChangeArrowheads="1"/>
                    </pic:cNvPicPr>
                  </pic:nvPicPr>
                  <pic:blipFill>
                    <a:blip r:embed="rId33"/>
                    <a:stretch>
                      <a:fillRect/>
                    </a:stretch>
                  </pic:blipFill>
                  <pic:spPr bwMode="auto">
                    <a:xfrm>
                      <a:off x="0" y="0"/>
                      <a:ext cx="4620260" cy="369633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predictive checks for DNR</w:t>
      </w:r>
      <w:bookmarkEnd w:id="50"/>
    </w:p>
    <w:p>
      <w:pPr>
        <w:pStyle w:val="Heading4"/>
        <w:rPr>
          <w:rFonts w:ascii="Liberation Serif" w:hAnsi="Liberation Serif"/>
        </w:rPr>
      </w:pPr>
      <w:bookmarkStart w:id="51" w:name="mrs-90-1"/>
      <w:r>
        <w:rPr>
          <w:rFonts w:ascii="Liberation Serif" w:hAnsi="Liberation Serif"/>
        </w:rPr>
        <w:t>mRS 90</w:t>
      </w:r>
    </w:p>
    <w:p>
      <w:pPr>
        <w:pStyle w:val="CaptionedFigure"/>
        <w:rPr>
          <w:rFonts w:ascii="Liberation Serif" w:hAnsi="Liberation Serif"/>
        </w:rPr>
      </w:pPr>
      <w:r>
        <w:rPr>
          <w:rFonts w:ascii="Liberation Serif" w:hAnsi="Liberation Serif"/>
        </w:rPr>
        <w:drawing>
          <wp:inline distT="0" distB="0" distL="0" distR="0">
            <wp:extent cx="4620260" cy="3696335"/>
            <wp:effectExtent l="0" t="0" r="0" b="0"/>
            <wp:docPr id="33" name="Image33" descr="Posterior predictive checks for Modified Rankin Score at 90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Posterior predictive checks for Modified Rankin Score at 90 Days"/>
                    <pic:cNvPicPr>
                      <a:picLocks noChangeAspect="1" noChangeArrowheads="1"/>
                    </pic:cNvPicPr>
                  </pic:nvPicPr>
                  <pic:blipFill>
                    <a:blip r:embed="rId34"/>
                    <a:stretch>
                      <a:fillRect/>
                    </a:stretch>
                  </pic:blipFill>
                  <pic:spPr bwMode="auto">
                    <a:xfrm>
                      <a:off x="0" y="0"/>
                      <a:ext cx="4620260" cy="369633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predictive checks for Modified Rankin Score at 90 Days</w:t>
      </w:r>
      <w:bookmarkEnd w:id="51"/>
    </w:p>
    <w:p>
      <w:pPr>
        <w:pStyle w:val="Heading4"/>
        <w:rPr>
          <w:rFonts w:ascii="Liberation Serif" w:hAnsi="Liberation Serif"/>
        </w:rPr>
      </w:pPr>
      <w:bookmarkStart w:id="52" w:name="euroqol-moblity-90"/>
      <w:r>
        <w:rPr>
          <w:rFonts w:ascii="Liberation Serif" w:hAnsi="Liberation Serif"/>
        </w:rPr>
        <w:t>EuroQOL Moblity 90</w:t>
      </w:r>
    </w:p>
    <w:p>
      <w:pPr>
        <w:pStyle w:val="CaptionedFigure"/>
        <w:rPr>
          <w:rFonts w:ascii="Liberation Serif" w:hAnsi="Liberation Serif"/>
        </w:rPr>
      </w:pPr>
      <w:r>
        <w:rPr>
          <w:rFonts w:ascii="Liberation Serif" w:hAnsi="Liberation Serif"/>
        </w:rPr>
        <w:drawing>
          <wp:inline distT="0" distB="0" distL="0" distR="0">
            <wp:extent cx="4620260" cy="3696335"/>
            <wp:effectExtent l="0" t="0" r="0" b="0"/>
            <wp:docPr id="34" name="Image34" descr="Posterior predictive checks for EuroQOL — Mobility at 90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Posterior predictive checks for EuroQOL — Mobility at 90 Days"/>
                    <pic:cNvPicPr>
                      <a:picLocks noChangeAspect="1" noChangeArrowheads="1"/>
                    </pic:cNvPicPr>
                  </pic:nvPicPr>
                  <pic:blipFill>
                    <a:blip r:embed="rId35"/>
                    <a:stretch>
                      <a:fillRect/>
                    </a:stretch>
                  </pic:blipFill>
                  <pic:spPr bwMode="auto">
                    <a:xfrm>
                      <a:off x="0" y="0"/>
                      <a:ext cx="4620260" cy="369633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predictive checks for EuroQOL — Mobility at 90 Days</w:t>
      </w:r>
      <w:bookmarkEnd w:id="52"/>
    </w:p>
    <w:p>
      <w:pPr>
        <w:pStyle w:val="Heading4"/>
        <w:rPr>
          <w:rFonts w:ascii="Liberation Serif" w:hAnsi="Liberation Serif"/>
        </w:rPr>
      </w:pPr>
      <w:bookmarkStart w:id="53" w:name="euroqol-self-care-90-1"/>
      <w:r>
        <w:rPr>
          <w:rFonts w:ascii="Liberation Serif" w:hAnsi="Liberation Serif"/>
        </w:rPr>
        <w:t>EuroQOL Self-Care 90</w:t>
      </w:r>
    </w:p>
    <w:p>
      <w:pPr>
        <w:pStyle w:val="CaptionedFigure"/>
        <w:rPr>
          <w:rFonts w:ascii="Liberation Serif" w:hAnsi="Liberation Serif"/>
        </w:rPr>
      </w:pPr>
      <w:r>
        <w:rPr>
          <w:rFonts w:ascii="Liberation Serif" w:hAnsi="Liberation Serif"/>
        </w:rPr>
        <w:drawing>
          <wp:inline distT="0" distB="0" distL="0" distR="0">
            <wp:extent cx="4620260" cy="3696335"/>
            <wp:effectExtent l="0" t="0" r="0" b="0"/>
            <wp:docPr id="35" name="Image35" descr="Posterior predictive checks for EuroQOL — Self-Care at 90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Posterior predictive checks for EuroQOL — Self-Care at 90 Days"/>
                    <pic:cNvPicPr>
                      <a:picLocks noChangeAspect="1" noChangeArrowheads="1"/>
                    </pic:cNvPicPr>
                  </pic:nvPicPr>
                  <pic:blipFill>
                    <a:blip r:embed="rId36"/>
                    <a:stretch>
                      <a:fillRect/>
                    </a:stretch>
                  </pic:blipFill>
                  <pic:spPr bwMode="auto">
                    <a:xfrm>
                      <a:off x="0" y="0"/>
                      <a:ext cx="4620260" cy="369633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predictive checks for EuroQOL — Self-Care at 90 Days</w:t>
      </w:r>
      <w:bookmarkEnd w:id="53"/>
    </w:p>
    <w:p>
      <w:pPr>
        <w:pStyle w:val="Heading4"/>
        <w:rPr>
          <w:rFonts w:ascii="Liberation Serif" w:hAnsi="Liberation Serif"/>
        </w:rPr>
      </w:pPr>
      <w:bookmarkStart w:id="54" w:name="euroqol-usual-activities-90-1"/>
      <w:r>
        <w:rPr>
          <w:rFonts w:ascii="Liberation Serif" w:hAnsi="Liberation Serif"/>
        </w:rPr>
        <w:t>EuroQOL Usual Activities 90</w:t>
      </w:r>
    </w:p>
    <w:p>
      <w:pPr>
        <w:pStyle w:val="CaptionedFigure"/>
        <w:rPr>
          <w:rFonts w:ascii="Liberation Serif" w:hAnsi="Liberation Serif"/>
        </w:rPr>
      </w:pPr>
      <w:r>
        <w:rPr>
          <w:rFonts w:ascii="Liberation Serif" w:hAnsi="Liberation Serif"/>
        </w:rPr>
        <w:drawing>
          <wp:inline distT="0" distB="0" distL="0" distR="0">
            <wp:extent cx="4620260" cy="3696335"/>
            <wp:effectExtent l="0" t="0" r="0" b="0"/>
            <wp:docPr id="36" name="Image36" descr="Posterior predictive checks for EuroQOL — Usual Activities at 90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Posterior predictive checks for EuroQOL — Usual Activities at 90 Days"/>
                    <pic:cNvPicPr>
                      <a:picLocks noChangeAspect="1" noChangeArrowheads="1"/>
                    </pic:cNvPicPr>
                  </pic:nvPicPr>
                  <pic:blipFill>
                    <a:blip r:embed="rId37"/>
                    <a:stretch>
                      <a:fillRect/>
                    </a:stretch>
                  </pic:blipFill>
                  <pic:spPr bwMode="auto">
                    <a:xfrm>
                      <a:off x="0" y="0"/>
                      <a:ext cx="4620260" cy="369633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predictive checks for EuroQOL — Usual Activities at 90 Days</w:t>
      </w:r>
      <w:bookmarkEnd w:id="54"/>
    </w:p>
    <w:p>
      <w:pPr>
        <w:pStyle w:val="Heading4"/>
        <w:rPr>
          <w:rFonts w:ascii="Liberation Serif" w:hAnsi="Liberation Serif"/>
        </w:rPr>
      </w:pPr>
      <w:bookmarkStart w:id="55" w:name="euroqol-paindiscomfort-90-1"/>
      <w:r>
        <w:rPr>
          <w:rFonts w:ascii="Liberation Serif" w:hAnsi="Liberation Serif"/>
        </w:rPr>
        <w:t>EuroQOL Pain/Discomfort 90</w:t>
      </w:r>
    </w:p>
    <w:p>
      <w:pPr>
        <w:pStyle w:val="CaptionedFigure"/>
        <w:rPr>
          <w:rFonts w:ascii="Liberation Serif" w:hAnsi="Liberation Serif"/>
        </w:rPr>
      </w:pPr>
      <w:r>
        <w:rPr>
          <w:rFonts w:ascii="Liberation Serif" w:hAnsi="Liberation Serif"/>
        </w:rPr>
        <w:drawing>
          <wp:inline distT="0" distB="0" distL="0" distR="0">
            <wp:extent cx="4620260" cy="3696335"/>
            <wp:effectExtent l="0" t="0" r="0" b="0"/>
            <wp:docPr id="37" name="Image37" descr="Posterior predictive checks for EuroQOL — Pain/Discomfort at 90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Posterior predictive checks for EuroQOL — Pain/Discomfort at 90 Days"/>
                    <pic:cNvPicPr>
                      <a:picLocks noChangeAspect="1" noChangeArrowheads="1"/>
                    </pic:cNvPicPr>
                  </pic:nvPicPr>
                  <pic:blipFill>
                    <a:blip r:embed="rId38"/>
                    <a:stretch>
                      <a:fillRect/>
                    </a:stretch>
                  </pic:blipFill>
                  <pic:spPr bwMode="auto">
                    <a:xfrm>
                      <a:off x="0" y="0"/>
                      <a:ext cx="4620260" cy="369633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predictive checks for EuroQOL — Pain/Discomfort at 90 Days</w:t>
      </w:r>
      <w:bookmarkEnd w:id="55"/>
    </w:p>
    <w:p>
      <w:pPr>
        <w:pStyle w:val="Heading4"/>
        <w:rPr>
          <w:rFonts w:ascii="Liberation Serif" w:hAnsi="Liberation Serif"/>
        </w:rPr>
      </w:pPr>
      <w:bookmarkStart w:id="56" w:name="euroqol-anxietydespression-90"/>
      <w:r>
        <w:rPr>
          <w:rFonts w:ascii="Liberation Serif" w:hAnsi="Liberation Serif"/>
        </w:rPr>
        <w:t>EuroQOL Anxiety/Despression 90</w:t>
      </w:r>
    </w:p>
    <w:p>
      <w:pPr>
        <w:pStyle w:val="CaptionedFigure"/>
        <w:rPr>
          <w:rFonts w:ascii="Liberation Serif" w:hAnsi="Liberation Serif"/>
        </w:rPr>
      </w:pPr>
      <w:r>
        <w:rPr>
          <w:rFonts w:ascii="Liberation Serif" w:hAnsi="Liberation Serif"/>
        </w:rPr>
        <w:drawing>
          <wp:inline distT="0" distB="0" distL="0" distR="0">
            <wp:extent cx="4620260" cy="3696335"/>
            <wp:effectExtent l="0" t="0" r="0" b="0"/>
            <wp:docPr id="38" name="Image38" descr="Posterior predictive checks for EuroQOL — Anxiety/Depression at 90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Posterior predictive checks for EuroQOL — Anxiety/Depression at 90 Days"/>
                    <pic:cNvPicPr>
                      <a:picLocks noChangeAspect="1" noChangeArrowheads="1"/>
                    </pic:cNvPicPr>
                  </pic:nvPicPr>
                  <pic:blipFill>
                    <a:blip r:embed="rId39"/>
                    <a:stretch>
                      <a:fillRect/>
                    </a:stretch>
                  </pic:blipFill>
                  <pic:spPr bwMode="auto">
                    <a:xfrm>
                      <a:off x="0" y="0"/>
                      <a:ext cx="4620260" cy="369633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predictive checks for EuroQOL — Anxiety/Depression at 90 Days</w:t>
      </w:r>
      <w:bookmarkEnd w:id="56"/>
    </w:p>
    <w:p>
      <w:pPr>
        <w:pStyle w:val="Heading4"/>
        <w:rPr>
          <w:rFonts w:ascii="Liberation Serif" w:hAnsi="Liberation Serif"/>
        </w:rPr>
      </w:pPr>
      <w:bookmarkStart w:id="57" w:name="euroqol-vas-90-1"/>
      <w:r>
        <w:rPr>
          <w:rFonts w:ascii="Liberation Serif" w:hAnsi="Liberation Serif"/>
        </w:rPr>
        <w:t>EuroQOL VAS 90</w:t>
      </w:r>
    </w:p>
    <w:p>
      <w:pPr>
        <w:pStyle w:val="CaptionedFigure"/>
        <w:rPr>
          <w:rFonts w:ascii="Liberation Serif" w:hAnsi="Liberation Serif"/>
        </w:rPr>
      </w:pPr>
      <w:r>
        <w:rPr>
          <w:rFonts w:ascii="Liberation Serif" w:hAnsi="Liberation Serif"/>
        </w:rPr>
        <w:drawing>
          <wp:inline distT="0" distB="0" distL="0" distR="0">
            <wp:extent cx="4620260" cy="3696335"/>
            <wp:effectExtent l="0" t="0" r="0" b="0"/>
            <wp:docPr id="39" name="Image39" descr="Posterior predictive checks for EuroQOL — VAS at 90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Posterior predictive checks for EuroQOL — VAS at 90 Days"/>
                    <pic:cNvPicPr>
                      <a:picLocks noChangeAspect="1" noChangeArrowheads="1"/>
                    </pic:cNvPicPr>
                  </pic:nvPicPr>
                  <pic:blipFill>
                    <a:blip r:embed="rId40"/>
                    <a:stretch>
                      <a:fillRect/>
                    </a:stretch>
                  </pic:blipFill>
                  <pic:spPr bwMode="auto">
                    <a:xfrm>
                      <a:off x="0" y="0"/>
                      <a:ext cx="4620260" cy="3696335"/>
                    </a:xfrm>
                    <a:prstGeom prst="rect">
                      <a:avLst/>
                    </a:prstGeom>
                    <a:noFill/>
                  </pic:spPr>
                </pic:pic>
              </a:graphicData>
            </a:graphic>
          </wp:inline>
        </w:drawing>
      </w:r>
    </w:p>
    <w:p>
      <w:pPr>
        <w:pStyle w:val="ImageCaption"/>
        <w:rPr>
          <w:rFonts w:ascii="Liberation Serif" w:hAnsi="Liberation Serif"/>
        </w:rPr>
      </w:pPr>
      <w:r>
        <w:rPr>
          <w:rFonts w:ascii="Liberation Serif" w:hAnsi="Liberation Serif"/>
        </w:rPr>
        <w:t>Posterior predictive checks for EuroQOL — VAS at 90 Days</w:t>
      </w:r>
      <w:bookmarkEnd w:id="43"/>
      <w:bookmarkEnd w:id="57"/>
    </w:p>
    <w:p>
      <w:pPr>
        <w:pStyle w:val="Heading2"/>
        <w:rPr>
          <w:rFonts w:ascii="Liberation Serif" w:hAnsi="Liberation Serif"/>
        </w:rPr>
      </w:pPr>
      <w:bookmarkStart w:id="58" w:name="sensitivity-analyses"/>
      <w:r>
        <w:rPr>
          <w:rFonts w:ascii="Liberation Serif" w:hAnsi="Liberation Serif"/>
        </w:rPr>
        <w:t>Sensitivity Analyses</w:t>
      </w:r>
    </w:p>
    <w:p>
      <w:pPr>
        <w:pStyle w:val="FirstParagraph"/>
        <w:rPr>
          <w:rFonts w:ascii="Liberation Serif" w:hAnsi="Liberation Serif"/>
        </w:rPr>
      </w:pPr>
      <w:r>
        <w:rPr>
          <w:rFonts w:ascii="Liberation Serif" w:hAnsi="Liberation Serif"/>
        </w:rPr>
        <w:t>To assess the robustness of our findings for the primary outcome, we conducted several sensitivity analyses. First, we repeated the primary analysis using three alternative prior distributions: a left-hemisphere prior, a right-hemisphere prior, and a flat (minimally informative) prior. This allowed us to evaluate the influence of different initial beliefs on the resulting posterior distributions. Second, we explored an alternative covariate adjustment set based on a minimal adjustment set identified from our directed acyclic graphs (DAGs) to ensure our results were not dependent on the specific model specification. Third, as described in the primary manuscript, the primary analysis used MICE-imputed data; we performed a complete-case sensitivity analysis (excluding patients with missing outcomes) to confirm that our findings were not unduly influenced by the imputation assumptions. Finally, to evaluate the potential impact of center-level clustering, we performed a site-level random-effect sensitivity analysis restricted to the ATACH-2 cohort, where hospital site identifiers were available. The results of these sensitivity analyses were consistent with our primary findings, demonstrating the robustness of our conclusions.</w:t>
      </w:r>
    </w:p>
    <w:p>
      <w:pPr>
        <w:pStyle w:val="Heading3"/>
        <w:rPr>
          <w:rFonts w:ascii="Liberation Serif" w:hAnsi="Liberation Serif"/>
        </w:rPr>
      </w:pPr>
      <w:bookmarkStart w:id="59" w:name="X5b3d359d4158f9e16fdc25061ba2fd94a0bee03"/>
      <w:r>
        <w:rPr>
          <w:rFonts w:ascii="Liberation Serif" w:hAnsi="Liberation Serif"/>
        </w:rPr>
        <w:t>Exploratory Subgroup Interaction Analysis</w:t>
      </w:r>
    </w:p>
    <w:p>
      <w:pPr>
        <w:pStyle w:val="FirstParagraph"/>
        <w:rPr>
          <w:rFonts w:ascii="Liberation Serif" w:hAnsi="Liberation Serif"/>
        </w:rPr>
      </w:pPr>
      <w:r>
        <w:rPr>
          <w:rFonts w:ascii="Liberation Serif" w:hAnsi="Liberation Serif"/>
        </w:rPr>
        <w:t>To evaluate whether the association between hemispheric laterality and neurosurgical intervention varied across clinically relevant subgroups, we fitted Bayesian logistic regression models that included formal interaction terms between ICH laterality and each subgroup variable. Two interaction models were fitted: (1) laterality × ICH location (basal ganglia, lobar, thalamic) and (2) laterality × study (ATACH-2, ERICH). Both models used the neutral prior under the adjusted covariate set and were fitted to complete-case data.</w:t>
      </w:r>
    </w:p>
    <w:p>
      <w:pPr>
        <w:pStyle w:val="BodyText"/>
        <w:rPr>
          <w:rFonts w:ascii="Liberation Serif" w:hAnsi="Liberation Serif"/>
        </w:rPr>
      </w:pPr>
      <w:r>
        <w:rPr>
          <w:rFonts w:ascii="Liberation Serif" w:hAnsi="Liberation Serif"/>
        </w:rPr>
        <w:t>For each subgroup, we report: the subgroup-specific adjusted odds ratio (aOR) for the laterality association with 95% CrI, posterior probabilities of the aOR exceeding 1 and 1.2, the proportion of the posterior within the ROPE, and — critically — the formal interaction effect expressed as a Ratio of Odds Ratios (ROR). The ROR quantifies how many times larger (or smaller) the laterality effect is in a given subgroup compared to the reference subgroup. An ROR of 1 indicates no difference in the laterality association across subgroups, while values substantially above or below 1 suggest effect modification.</w:t>
      </w:r>
    </w:p>
    <w:p>
      <w:pPr>
        <w:pStyle w:val="BodyText"/>
        <w:rPr>
          <w:rFonts w:ascii="Liberation Serif" w:hAnsi="Liberation Serif"/>
        </w:rPr>
      </w:pPr>
      <w:r>
        <w:rPr>
          <w:rFonts w:ascii="Liberation Serif" w:hAnsi="Liberation Serif"/>
        </w:rPr>
        <w:t>This approach avoids the well-known pitfalls of comparing isolated subgroup point estimates, which can yield misleading conclusions about heterogeneity. Instead, the interaction ROR directly tests whether the laterality effect differs between subgroups and provides a formal probabilistic assessment of the degree of heterogeneity.</w:t>
      </w:r>
    </w:p>
    <w:tbl>
      <w:tblPr>
        <w:tblW w:w="5000" w:type="pct"/>
        <w:jc w:val="left"/>
        <w:tblInd w:w="108" w:type="dxa"/>
        <w:tblLayout w:type="fixed"/>
        <w:tblCellMar>
          <w:top w:w="0" w:type="dxa"/>
          <w:left w:w="108" w:type="dxa"/>
          <w:bottom w:w="0" w:type="dxa"/>
          <w:right w:w="108" w:type="dxa"/>
        </w:tblCellMar>
      </w:tblPr>
      <w:tblGrid>
        <w:gridCol w:w="9360"/>
      </w:tblGrid>
      <w:tr>
        <w:trPr/>
        <w:tc>
          <w:tcPr>
            <w:tcW w:w="9360" w:type="dxa"/>
            <w:tcBorders/>
          </w:tcPr>
          <w:p>
            <w:pPr>
              <w:pStyle w:val="ImageCaption"/>
              <w:spacing w:before="200" w:after="120"/>
              <w:jc w:val="left"/>
              <w:rPr>
                <w:rFonts w:ascii="Liberation Serif" w:hAnsi="Liberation Serif"/>
              </w:rPr>
            </w:pPr>
            <w:r>
              <w:rPr>
                <w:rFonts w:ascii="Liberation Serif" w:hAnsi="Liberation Serif"/>
              </w:rPr>
              <w:t>Table 10: Subgroup Analysis of Hemispheric Laterality and Neurosurgical Intervention with Formal Interaction Tests</w:t>
            </w:r>
          </w:p>
        </w:tc>
      </w:tr>
    </w:tbl>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039"/>
        <w:gridCol w:w="1040"/>
        <w:gridCol w:w="1040"/>
        <w:gridCol w:w="1040"/>
        <w:gridCol w:w="1040"/>
        <w:gridCol w:w="1040"/>
        <w:gridCol w:w="1040"/>
        <w:gridCol w:w="1040"/>
        <w:gridCol w:w="1041"/>
      </w:tblGrid>
      <w:tr>
        <w:trPr>
          <w:tblHeader w:val="true"/>
          <w:cantSplit/>
        </w:trPr>
        <w:tc>
          <w:tcPr>
            <w:tcW w:w="1039" w:type="dxa"/>
            <w:tcBorders>
              <w:top w:val="single" w:sz="16" w:space="0" w:color="D3D3D3"/>
              <w:left w:val="single" w:sz="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Subgroup</w:t>
            </w:r>
          </w:p>
        </w:tc>
        <w:tc>
          <w:tcPr>
            <w:tcW w:w="1040"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Left Hemisphere</w:t>
            </w:r>
          </w:p>
        </w:tc>
        <w:tc>
          <w:tcPr>
            <w:tcW w:w="1040"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Right Hemisphere</w:t>
            </w:r>
          </w:p>
        </w:tc>
        <w:tc>
          <w:tcPr>
            <w:tcW w:w="1040"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aOR (95% CI)</w:t>
            </w:r>
            <w:r>
              <w:rPr>
                <w:rFonts w:ascii="Liberation Serif" w:hAnsi="Liberation Serif"/>
                <w:i/>
                <w:sz w:val="20"/>
                <w:vertAlign w:val="superscript"/>
              </w:rPr>
              <w:t>1</w:t>
            </w:r>
          </w:p>
        </w:tc>
        <w:tc>
          <w:tcPr>
            <w:tcW w:w="1040"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Prob(aOR &gt; 1)</w:t>
            </w:r>
          </w:p>
        </w:tc>
        <w:tc>
          <w:tcPr>
            <w:tcW w:w="1040"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Prob(aOR &gt; 1.2)</w:t>
            </w:r>
          </w:p>
        </w:tc>
        <w:tc>
          <w:tcPr>
            <w:tcW w:w="1040"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ROPE</w:t>
            </w:r>
            <w:r>
              <w:rPr>
                <w:rFonts w:ascii="Liberation Serif" w:hAnsi="Liberation Serif"/>
                <w:i/>
                <w:sz w:val="20"/>
                <w:vertAlign w:val="superscript"/>
              </w:rPr>
              <w:t>2</w:t>
            </w:r>
          </w:p>
        </w:tc>
        <w:tc>
          <w:tcPr>
            <w:tcW w:w="1040"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Interaction ROR (95% CI)</w:t>
            </w:r>
            <w:r>
              <w:rPr>
                <w:rFonts w:ascii="Liberation Serif" w:hAnsi="Liberation Serif"/>
                <w:i/>
                <w:sz w:val="20"/>
                <w:vertAlign w:val="superscript"/>
              </w:rPr>
              <w:t>3</w:t>
            </w:r>
          </w:p>
        </w:tc>
        <w:tc>
          <w:tcPr>
            <w:tcW w:w="1041" w:type="dxa"/>
            <w:tcBorders>
              <w:top w:val="single" w:sz="1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Prob(Subgroup aOR &gt; Ref aOR)</w:t>
            </w:r>
          </w:p>
        </w:tc>
      </w:tr>
      <w:tr>
        <w:trPr>
          <w:cantSplit/>
        </w:trPr>
        <w:tc>
          <w:tcPr>
            <w:tcW w:w="9360" w:type="dxa"/>
            <w:gridSpan w:val="9"/>
            <w:tcBorders>
              <w:top w:val="single" w:sz="16" w:space="0" w:color="D3D3D3"/>
              <w:left w:val="single" w:sz="6" w:space="0" w:color="D3D3D3"/>
              <w:bottom w:val="single" w:sz="16" w:space="0" w:color="D3D3D3"/>
              <w:right w:val="single" w:sz="6" w:space="0" w:color="D3D3D3"/>
            </w:tcBorders>
            <w:tcMar>
              <w:top w:w="25" w:type="dxa"/>
            </w:tcMar>
          </w:tcPr>
          <w:p>
            <w:pPr>
              <w:pStyle w:val="Normal"/>
              <w:keepNext w:val="true"/>
              <w:spacing w:before="0" w:after="60"/>
              <w:rPr>
                <w:rFonts w:ascii="Liberation Serif" w:hAnsi="Liberation Serif"/>
              </w:rPr>
            </w:pPr>
            <w:r>
              <w:rPr>
                <w:rFonts w:ascii="Liberation Serif" w:hAnsi="Liberation Serif"/>
                <w:b/>
                <w:sz w:val="20"/>
              </w:rPr>
              <w:t>ICH Location</w:t>
            </w:r>
          </w:p>
        </w:tc>
      </w:tr>
      <w:tr>
        <w:trPr>
          <w:cantSplit/>
        </w:trPr>
        <w:tc>
          <w:tcPr>
            <w:tcW w:w="103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Basal Ganglia</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43 (6.2%)</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51 (8.3%)</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1.54 (1.20 - 1.90)</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1.00</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0.96</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0.00</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Reference</w:t>
            </w:r>
          </w:p>
        </w:tc>
        <w:tc>
          <w:tcPr>
            <w:tcW w:w="104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w:t>
            </w:r>
          </w:p>
        </w:tc>
      </w:tr>
      <w:tr>
        <w:trPr>
          <w:cantSplit/>
        </w:trPr>
        <w:tc>
          <w:tcPr>
            <w:tcW w:w="103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Lobar</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39 (7.7%)</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76 (14.9%)</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1.73 (1.34 - 2.38)</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1.00</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1.00</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0.00</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1.13 (0.85 - 1.65)</w:t>
            </w:r>
          </w:p>
        </w:tc>
        <w:tc>
          <w:tcPr>
            <w:tcW w:w="104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0.70</w:t>
            </w:r>
          </w:p>
        </w:tc>
      </w:tr>
      <w:tr>
        <w:trPr>
          <w:cantSplit/>
        </w:trPr>
        <w:tc>
          <w:tcPr>
            <w:tcW w:w="103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Thalamus</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 (0.8%)</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17 (2.7%)</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1.66 (1.06 - 2.48)</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0.98</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0.92</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0.04</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1.08 (0.64 - 1.56)</w:t>
            </w:r>
          </w:p>
        </w:tc>
        <w:tc>
          <w:tcPr>
            <w:tcW w:w="104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0.62</w:t>
            </w:r>
          </w:p>
        </w:tc>
      </w:tr>
      <w:tr>
        <w:trPr>
          <w:cantSplit/>
        </w:trPr>
        <w:tc>
          <w:tcPr>
            <w:tcW w:w="9360" w:type="dxa"/>
            <w:gridSpan w:val="9"/>
            <w:tcBorders>
              <w:top w:val="single" w:sz="16" w:space="0" w:color="D3D3D3"/>
              <w:left w:val="single" w:sz="6" w:space="0" w:color="D3D3D3"/>
              <w:bottom w:val="single" w:sz="16" w:space="0" w:color="D3D3D3"/>
              <w:right w:val="single" w:sz="6" w:space="0" w:color="D3D3D3"/>
            </w:tcBorders>
            <w:tcMar>
              <w:top w:w="25" w:type="dxa"/>
            </w:tcMar>
          </w:tcPr>
          <w:p>
            <w:pPr>
              <w:pStyle w:val="Normal"/>
              <w:keepNext w:val="true"/>
              <w:spacing w:before="0" w:after="60"/>
              <w:rPr>
                <w:rFonts w:ascii="Liberation Serif" w:hAnsi="Liberation Serif"/>
              </w:rPr>
            </w:pPr>
            <w:r>
              <w:rPr>
                <w:rFonts w:ascii="Liberation Serif" w:hAnsi="Liberation Serif"/>
                <w:b/>
                <w:sz w:val="20"/>
              </w:rPr>
              <w:t>Study</w:t>
            </w:r>
          </w:p>
        </w:tc>
      </w:tr>
      <w:tr>
        <w:trPr>
          <w:cantSplit/>
        </w:trPr>
        <w:tc>
          <w:tcPr>
            <w:tcW w:w="103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ATACH-2</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13 (2.8%)</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30 (5.8%)</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1.79 (1.24 - 2.84)</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1.00</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0.98</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0.00</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Reference</w:t>
            </w:r>
          </w:p>
        </w:tc>
        <w:tc>
          <w:tcPr>
            <w:tcW w:w="104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w:t>
            </w:r>
          </w:p>
        </w:tc>
      </w:tr>
      <w:tr>
        <w:trPr>
          <w:cantSplit/>
        </w:trPr>
        <w:tc>
          <w:tcPr>
            <w:tcW w:w="103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ERICH</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73 (5.8%)</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114 (9.2%)</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1.59 (1.25 - 2.14)</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1.00</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1.00</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0.00</w:t>
            </w:r>
          </w:p>
        </w:tc>
        <w:tc>
          <w:tcPr>
            <w:tcW w:w="10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0.82 (0.50 - 1.39)</w:t>
            </w:r>
          </w:p>
        </w:tc>
        <w:tc>
          <w:tcPr>
            <w:tcW w:w="104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0.36</w:t>
            </w:r>
          </w:p>
        </w:tc>
      </w:tr>
      <w:tr>
        <w:trPr>
          <w:cantSplit/>
        </w:trPr>
        <w:tc>
          <w:tcPr>
            <w:tcW w:w="9360" w:type="dxa"/>
            <w:gridSpan w:val="9"/>
            <w:tcBorders/>
          </w:tcPr>
          <w:p>
            <w:pPr>
              <w:pStyle w:val="Normal"/>
              <w:keepNext w:val="true"/>
              <w:spacing w:before="0" w:after="60"/>
              <w:rPr>
                <w:rFonts w:ascii="Liberation Serif" w:hAnsi="Liberation Serif"/>
              </w:rPr>
            </w:pPr>
            <w:r>
              <w:rPr>
                <w:rFonts w:ascii="Liberation Serif" w:hAnsi="Liberation Serif"/>
                <w:i/>
                <w:sz w:val="20"/>
                <w:vertAlign w:val="superscript"/>
              </w:rPr>
              <w:t>1</w:t>
            </w:r>
            <w:r>
              <w:rPr>
                <w:rFonts w:ascii="Liberation Serif" w:hAnsi="Liberation Serif"/>
                <w:sz w:val="20"/>
              </w:rPr>
              <w:t>aOR = adjusted odds ratio, CI = 95% credible interval. Reference Category: Left Hemisphere Laterality</w:t>
            </w:r>
          </w:p>
        </w:tc>
      </w:tr>
      <w:tr>
        <w:trPr>
          <w:cantSplit/>
        </w:trPr>
        <w:tc>
          <w:tcPr>
            <w:tcW w:w="9360" w:type="dxa"/>
            <w:gridSpan w:val="9"/>
            <w:tcBorders/>
          </w:tcPr>
          <w:p>
            <w:pPr>
              <w:pStyle w:val="Normal"/>
              <w:keepNext w:val="true"/>
              <w:spacing w:before="0" w:after="60"/>
              <w:rPr>
                <w:rFonts w:ascii="Liberation Serif" w:hAnsi="Liberation Serif"/>
              </w:rPr>
            </w:pPr>
            <w:r>
              <w:rPr>
                <w:rFonts w:ascii="Liberation Serif" w:hAnsi="Liberation Serif"/>
                <w:i/>
                <w:sz w:val="20"/>
                <w:vertAlign w:val="superscript"/>
              </w:rPr>
              <w:t>2</w:t>
            </w:r>
            <w:r>
              <w:rPr>
                <w:rFonts w:ascii="Liberation Serif" w:hAnsi="Liberation Serif"/>
                <w:sz w:val="20"/>
              </w:rPr>
              <w:t>ROPE = region of practical equivalence, defined as 0.95 to 1.05</w:t>
            </w:r>
          </w:p>
        </w:tc>
      </w:tr>
      <w:tr>
        <w:trPr>
          <w:cantSplit/>
        </w:trPr>
        <w:tc>
          <w:tcPr>
            <w:tcW w:w="9360" w:type="dxa"/>
            <w:gridSpan w:val="9"/>
            <w:tcBorders/>
          </w:tcPr>
          <w:p>
            <w:pPr>
              <w:pStyle w:val="Normal"/>
              <w:keepNext w:val="true"/>
              <w:spacing w:before="0" w:after="60"/>
              <w:rPr>
                <w:rFonts w:ascii="Liberation Serif" w:hAnsi="Liberation Serif"/>
              </w:rPr>
            </w:pPr>
            <w:r>
              <w:rPr>
                <w:rFonts w:ascii="Liberation Serif" w:hAnsi="Liberation Serif"/>
                <w:i/>
                <w:sz w:val="20"/>
                <w:vertAlign w:val="superscript"/>
              </w:rPr>
              <w:t>3</w:t>
            </w:r>
            <w:r>
              <w:rPr>
                <w:rFonts w:ascii="Liberation Serif" w:hAnsi="Liberation Serif"/>
                <w:sz w:val="20"/>
              </w:rPr>
              <w:t>Ratio of Odds Ratios (ROR). Represents how many times larger the laterality effect (aOR) is in this subgroup compared to the Reference subgroup.</w:t>
            </w:r>
            <w:bookmarkStart w:id="60" w:name="tbl-subgroup-interactions"/>
            <w:bookmarkEnd w:id="60"/>
          </w:p>
        </w:tc>
      </w:tr>
    </w:tbl>
    <w:p>
      <w:pPr>
        <w:pStyle w:val="BodyText"/>
        <w:rPr>
          <w:rFonts w:ascii="Liberation Serif" w:hAnsi="Liberation Serif"/>
        </w:rPr>
      </w:pPr>
      <w:r>
        <w:rPr>
          <w:rFonts w:ascii="Liberation Serif" w:hAnsi="Liberation Serif"/>
        </w:rPr>
        <w:t>The laterality association with neurosurgical intervention was directionally consistent across ICH location and study subgroups. While the point estimates suggested a potentially larger laterality effect for lobar hemorrhages relative to basal ganglia hemorrhages, the interaction ROR credible intervals were wide and included 1, indicating that the observed subgroup differences were not statistically distinguishable. Similarly, the laterality effect was consistent between the ATACH-2 and ERICH cohorts, with no evidence of meaningful effect modification by study source.</w:t>
      </w:r>
      <w:bookmarkEnd w:id="59"/>
    </w:p>
    <w:p>
      <w:pPr>
        <w:pStyle w:val="Heading3"/>
        <w:rPr>
          <w:rFonts w:ascii="Liberation Serif" w:hAnsi="Liberation Serif"/>
        </w:rPr>
      </w:pPr>
      <w:r>
        <w:rPr>
          <w:rFonts w:ascii="Liberation Serif" w:hAnsi="Liberation Serif"/>
        </w:rPr>
        <w:t>Table 2 with Different Priors</w:t>
      </w:r>
    </w:p>
    <w:p>
      <w:pPr>
        <w:pStyle w:val="Heading4"/>
        <w:rPr>
          <w:rFonts w:ascii="Liberation Serif" w:hAnsi="Liberation Serif"/>
        </w:rPr>
      </w:pPr>
      <w:r>
        <w:rPr>
          <w:rFonts w:ascii="Liberation Serif" w:hAnsi="Liberation Serif"/>
        </w:rPr>
        <w:t>Left Hemisphere Prior</w:t>
      </w:r>
    </w:p>
    <w:tbl>
      <w:tblPr>
        <w:tblW w:w="5000" w:type="pct"/>
        <w:jc w:val="left"/>
        <w:tblInd w:w="108" w:type="dxa"/>
        <w:tblLayout w:type="fixed"/>
        <w:tblCellMar>
          <w:top w:w="0" w:type="dxa"/>
          <w:left w:w="108" w:type="dxa"/>
          <w:bottom w:w="0" w:type="dxa"/>
          <w:right w:w="108" w:type="dxa"/>
        </w:tblCellMar>
      </w:tblPr>
      <w:tblGrid>
        <w:gridCol w:w="9360"/>
      </w:tblGrid>
      <w:tr>
        <w:trPr/>
        <w:tc>
          <w:tcPr>
            <w:tcW w:w="9360" w:type="dxa"/>
            <w:tcBorders/>
          </w:tcPr>
          <w:p>
            <w:pPr>
              <w:pStyle w:val="ImageCaption"/>
              <w:spacing w:before="200" w:after="120"/>
              <w:jc w:val="left"/>
              <w:rPr>
                <w:rFonts w:ascii="Liberation Serif" w:hAnsi="Liberation Serif"/>
              </w:rPr>
            </w:pPr>
            <w:r>
              <w:rPr>
                <w:rFonts w:ascii="Liberation Serif" w:hAnsi="Liberation Serif"/>
              </w:rPr>
              <w:t>Table 11</w:t>
            </w:r>
            <w:bookmarkStart w:id="61" w:name="left-hemisphere-prior-1"/>
            <w:bookmarkEnd w:id="61"/>
          </w:p>
        </w:tc>
      </w:tr>
    </w:tbl>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337"/>
        <w:gridCol w:w="1337"/>
        <w:gridCol w:w="1337"/>
        <w:gridCol w:w="1337"/>
        <w:gridCol w:w="1337"/>
        <w:gridCol w:w="1337"/>
        <w:gridCol w:w="1338"/>
      </w:tblGrid>
      <w:tr>
        <w:trPr>
          <w:tblHeader w:val="true"/>
          <w:cantSplit/>
        </w:trPr>
        <w:tc>
          <w:tcPr>
            <w:tcW w:w="1337" w:type="dxa"/>
            <w:tcBorders>
              <w:top w:val="single" w:sz="16" w:space="0" w:color="D3D3D3"/>
              <w:left w:val="single" w:sz="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Outcome</w:t>
            </w:r>
          </w:p>
        </w:tc>
        <w:tc>
          <w:tcPr>
            <w:tcW w:w="1337" w:type="dxa"/>
            <w:tcBorders>
              <w:top w:val="single" w:sz="16" w:space="0" w:color="D3D3D3"/>
              <w:left w:val="single" w:sz="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Left Hemisphere</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Right Hemisphere</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aOR / IRR (95% CrI)</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Probability of difference (Est &gt; 1)</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Probability of substantial difference (Est &gt; 1.2)</w:t>
            </w:r>
          </w:p>
        </w:tc>
        <w:tc>
          <w:tcPr>
            <w:tcW w:w="1338" w:type="dxa"/>
            <w:tcBorders>
              <w:top w:val="single" w:sz="1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ROPE</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Neurosurgical Intervention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86 (5.0%)</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144 (8.2%)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1.38 (1.12 - 1.71)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99.9%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90.2%</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0.6%</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External Ventricular Drain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236 (13.7%)</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272 (15.5%)</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1.13 (0.97 - 1.3)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94.1%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19.8%</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16.7%</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Days of Mechanical Ventilation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 (3 – 12)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 (3 – 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0.82 (0.64 - 1.04)</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5.4%</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10.1%</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Tracheostomy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19 (1.1%)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19 (1.1%)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0.96 (0.67 - 1.37)</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40.3%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11%</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20.7%</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Withdrawal of Life-Sustaining Therapy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152 (8.8%)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143 (8.1%)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 (0.74 - 1.08)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12.8%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0.1%</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22.4%</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Early Withdrawal of Life-Sustaining Therapy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45 (2.6%)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39 (2.2%)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0.89 (0.65 - 1.22)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24.2%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3.3%</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19.6%</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DNR Order</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195 (11.3%)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202 (11.5%)</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0.96 (0.82 - 1.13)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32.4%</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0.4%</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42%</w:t>
            </w:r>
          </w:p>
        </w:tc>
      </w:tr>
      <w:tr>
        <w:trPr>
          <w:cantSplit/>
        </w:trPr>
        <w:tc>
          <w:tcPr>
            <w:tcW w:w="9360" w:type="dxa"/>
            <w:gridSpan w:val="7"/>
            <w:tcBorders/>
          </w:tcPr>
          <w:p>
            <w:pPr>
              <w:pStyle w:val="Normal"/>
              <w:keepNext w:val="true"/>
              <w:spacing w:before="0" w:after="60"/>
              <w:rPr>
                <w:rFonts w:ascii="Liberation Serif" w:hAnsi="Liberation Serif"/>
              </w:rPr>
            </w:pPr>
            <w:r>
              <w:rPr>
                <w:rFonts w:ascii="Liberation Serif" w:hAnsi="Liberation Serif"/>
                <w:sz w:val="20"/>
              </w:rPr>
              <w:t>Values represent Average Marginal Effects (Odds Ratios for binary outcomes, Incidence Rate Ratios for counts). Models are adjusted for age, admission GCS, ICH location (interaction), ICH volume, IVH, and study. Days of mechanical ventilation represent median (IQR) days (data from ATACH-2 only). ROPE indicates region of practical equivalence (0.95 to 1.05); aOR, adjusted odds ratio; IRR, incidence rate ratio; CrI, credible interval; GCS, Glasgow Coma Scale; ICH, intracerebral hemorrhage; IQR, interquartile range; and IVH, intraventricular hemorrhage.</w:t>
            </w:r>
            <w:bookmarkStart w:id="62" w:name="tbl-2-left-prior"/>
            <w:bookmarkEnd w:id="62"/>
          </w:p>
        </w:tc>
      </w:tr>
    </w:tbl>
    <w:p>
      <w:pPr>
        <w:pStyle w:val="Heading4"/>
        <w:rPr>
          <w:rFonts w:ascii="Liberation Serif" w:hAnsi="Liberation Serif"/>
        </w:rPr>
      </w:pPr>
      <w:r>
        <w:rPr>
          <w:rFonts w:ascii="Liberation Serif" w:hAnsi="Liberation Serif"/>
        </w:rPr>
        <w:t>Right Hemisphere Prior</w:t>
      </w:r>
    </w:p>
    <w:tbl>
      <w:tblPr>
        <w:tblW w:w="5000" w:type="pct"/>
        <w:jc w:val="left"/>
        <w:tblInd w:w="108" w:type="dxa"/>
        <w:tblLayout w:type="fixed"/>
        <w:tblCellMar>
          <w:top w:w="0" w:type="dxa"/>
          <w:left w:w="108" w:type="dxa"/>
          <w:bottom w:w="0" w:type="dxa"/>
          <w:right w:w="108" w:type="dxa"/>
        </w:tblCellMar>
      </w:tblPr>
      <w:tblGrid>
        <w:gridCol w:w="9360"/>
      </w:tblGrid>
      <w:tr>
        <w:trPr/>
        <w:tc>
          <w:tcPr>
            <w:tcW w:w="9360" w:type="dxa"/>
            <w:tcBorders/>
          </w:tcPr>
          <w:p>
            <w:pPr>
              <w:pStyle w:val="ImageCaption"/>
              <w:spacing w:before="200" w:after="120"/>
              <w:jc w:val="left"/>
              <w:rPr>
                <w:rFonts w:ascii="Liberation Serif" w:hAnsi="Liberation Serif"/>
              </w:rPr>
            </w:pPr>
            <w:r>
              <w:rPr>
                <w:rFonts w:ascii="Liberation Serif" w:hAnsi="Liberation Serif"/>
              </w:rPr>
              <w:t>Table 12</w:t>
            </w:r>
          </w:p>
        </w:tc>
      </w:tr>
    </w:tbl>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337"/>
        <w:gridCol w:w="1337"/>
        <w:gridCol w:w="1337"/>
        <w:gridCol w:w="1337"/>
        <w:gridCol w:w="1337"/>
        <w:gridCol w:w="1337"/>
        <w:gridCol w:w="1338"/>
      </w:tblGrid>
      <w:tr>
        <w:trPr>
          <w:tblHeader w:val="true"/>
          <w:cantSplit/>
        </w:trPr>
        <w:tc>
          <w:tcPr>
            <w:tcW w:w="1337" w:type="dxa"/>
            <w:tcBorders>
              <w:top w:val="single" w:sz="16" w:space="0" w:color="D3D3D3"/>
              <w:left w:val="single" w:sz="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Outcome</w:t>
            </w:r>
          </w:p>
        </w:tc>
        <w:tc>
          <w:tcPr>
            <w:tcW w:w="1337" w:type="dxa"/>
            <w:tcBorders>
              <w:top w:val="single" w:sz="16" w:space="0" w:color="D3D3D3"/>
              <w:left w:val="single" w:sz="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Left Hemisphere</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Right Hemisphere</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aOR / IRR (95% CrI)</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Probability of difference (Est &gt; 1)</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Probability of substantial difference (Est &gt; 1.2)</w:t>
            </w:r>
          </w:p>
        </w:tc>
        <w:tc>
          <w:tcPr>
            <w:tcW w:w="1338" w:type="dxa"/>
            <w:tcBorders>
              <w:top w:val="single" w:sz="1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ROPE</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Neurosurgical Intervention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86 (5.0%)</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144 (8.2%)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1.55 (1.26 - 1.93)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&gt; 99.9%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99.1%</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External Ventricular Drain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236 (13.7%)</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272 (15.5%)</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1.2 (1.04 - 1.39)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99.2%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51.1%</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3.7%</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Days of Mechanical Ventilation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 (3 – 12)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 (3 – 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1.01 (0.79 - 1.32)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53.7%</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10.3%</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30.2%</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Tracheostomy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19 (1.1%)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19 (1.1%)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1.22 (0.85 - 1.75)</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86.3%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53.8%</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11.8%</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Withdrawal of Life-Sustaining Therapy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152 (8.8%)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143 (8.1%)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0.98 (0.81 - 1.18)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39.8%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1.6%</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38.3%</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Early Withdrawal of Life-Sustaining Therapy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45 (2.6%)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39 (2.2%)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1.04 (0.76 - 1.41)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59.1%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17.6%</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24.7%</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DNR Order</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195 (11.3%)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202 (11.5%)</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1.03 (0.88 - 1.21)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65%</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3.4%</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42.8%</w:t>
            </w:r>
          </w:p>
        </w:tc>
      </w:tr>
      <w:tr>
        <w:trPr>
          <w:cantSplit/>
        </w:trPr>
        <w:tc>
          <w:tcPr>
            <w:tcW w:w="9360" w:type="dxa"/>
            <w:gridSpan w:val="7"/>
            <w:tcBorders/>
          </w:tcPr>
          <w:p>
            <w:pPr>
              <w:pStyle w:val="Normal"/>
              <w:keepNext w:val="true"/>
              <w:spacing w:before="0" w:after="60"/>
              <w:rPr>
                <w:rFonts w:ascii="Liberation Serif" w:hAnsi="Liberation Serif"/>
              </w:rPr>
            </w:pPr>
            <w:r>
              <w:rPr>
                <w:rFonts w:ascii="Liberation Serif" w:hAnsi="Liberation Serif"/>
                <w:sz w:val="20"/>
              </w:rPr>
              <w:t>Values represent Average Marginal Effects (Odds Ratios for binary outcomes, Incidence Rate Ratios for counts). Models are adjusted for age, admission GCS, ICH location (interaction), ICH volume, IVH, and study. Days of mechanical ventilation represent median (IQR) days (data from ATACH-2 only). ROPE indicates region of practical equivalence (0.95 to 1.05); aOR, adjusted odds ratio; IRR, incidence rate ratio; CrI, credible interval; GCS, Glasgow Coma Scale; ICH, intracerebral hemorrhage; IQR, interquartile range; and IVH, intraventricular hemorrhage.</w:t>
            </w:r>
            <w:bookmarkStart w:id="63" w:name="tbl-2-right-prior"/>
            <w:bookmarkEnd w:id="63"/>
          </w:p>
        </w:tc>
      </w:tr>
    </w:tbl>
    <w:p>
      <w:pPr>
        <w:pStyle w:val="Heading4"/>
        <w:rPr>
          <w:rFonts w:ascii="Liberation Serif" w:hAnsi="Liberation Serif"/>
        </w:rPr>
      </w:pPr>
      <w:r>
        <w:rPr>
          <w:rFonts w:ascii="Liberation Serif" w:hAnsi="Liberation Serif"/>
        </w:rPr>
        <w:t>Diffuse Prior</w:t>
      </w:r>
    </w:p>
    <w:tbl>
      <w:tblPr>
        <w:tblW w:w="5000" w:type="pct"/>
        <w:jc w:val="left"/>
        <w:tblInd w:w="108" w:type="dxa"/>
        <w:tblLayout w:type="fixed"/>
        <w:tblCellMar>
          <w:top w:w="0" w:type="dxa"/>
          <w:left w:w="108" w:type="dxa"/>
          <w:bottom w:w="0" w:type="dxa"/>
          <w:right w:w="108" w:type="dxa"/>
        </w:tblCellMar>
      </w:tblPr>
      <w:tblGrid>
        <w:gridCol w:w="9360"/>
      </w:tblGrid>
      <w:tr>
        <w:trPr/>
        <w:tc>
          <w:tcPr>
            <w:tcW w:w="9360" w:type="dxa"/>
            <w:tcBorders/>
          </w:tcPr>
          <w:p>
            <w:pPr>
              <w:pStyle w:val="ImageCaption"/>
              <w:spacing w:before="200" w:after="120"/>
              <w:jc w:val="left"/>
              <w:rPr>
                <w:rFonts w:ascii="Liberation Serif" w:hAnsi="Liberation Serif"/>
              </w:rPr>
            </w:pPr>
            <w:r>
              <w:rPr>
                <w:rFonts w:ascii="Liberation Serif" w:hAnsi="Liberation Serif"/>
              </w:rPr>
              <w:t>Table 13</w:t>
            </w:r>
            <w:bookmarkStart w:id="64" w:name="table-2-with-different-priors"/>
            <w:bookmarkEnd w:id="64"/>
          </w:p>
        </w:tc>
      </w:tr>
    </w:tbl>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337"/>
        <w:gridCol w:w="1337"/>
        <w:gridCol w:w="1337"/>
        <w:gridCol w:w="1337"/>
        <w:gridCol w:w="1337"/>
        <w:gridCol w:w="1337"/>
        <w:gridCol w:w="1338"/>
      </w:tblGrid>
      <w:tr>
        <w:trPr>
          <w:tblHeader w:val="true"/>
          <w:cantSplit/>
        </w:trPr>
        <w:tc>
          <w:tcPr>
            <w:tcW w:w="1337" w:type="dxa"/>
            <w:tcBorders>
              <w:top w:val="single" w:sz="16" w:space="0" w:color="D3D3D3"/>
              <w:left w:val="single" w:sz="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Outcome</w:t>
            </w:r>
          </w:p>
        </w:tc>
        <w:tc>
          <w:tcPr>
            <w:tcW w:w="1337" w:type="dxa"/>
            <w:tcBorders>
              <w:top w:val="single" w:sz="16" w:space="0" w:color="D3D3D3"/>
              <w:left w:val="single" w:sz="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Left Hemisphere</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Right Hemisphere</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aOR / IRR (95% CrI)</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Probability of difference (Est &gt; 1)</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Probability of substantial difference (Est &gt; 1.2)</w:t>
            </w:r>
          </w:p>
        </w:tc>
        <w:tc>
          <w:tcPr>
            <w:tcW w:w="1338" w:type="dxa"/>
            <w:tcBorders>
              <w:top w:val="single" w:sz="1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ROPE</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Neurosurgical Intervention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86 (5.0%)</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144 (8.2%)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1.73 (1.33 - 2.26)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&gt; 99.9%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99.6%</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External Ventricular Drain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236 (13.7%)</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272 (15.5%)</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1.23 (1.04 - 1.46)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99.2%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62.6%</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2.9%</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Days of Mechanical Ventilation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 (3 – 12)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 (3 – 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0.94 (0.71 - 1.27)</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34.1%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5.5%</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24.6%</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Tracheostomy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19 (1.1%)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19 (1.1%)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1.17 (0.61 - 2.21)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67.9%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46.6%</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10.9%</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Withdrawal of Life-Sustaining Therapy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152 (8.8%)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143 (8.1%)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0.95 (0.76 - 1.18)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30.7%</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1.7%</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31.2%</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Early Withdrawal of Life-Sustaining Therapy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45 (2.6%)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39 (2.2%)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 (0.59 - 1.36)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30.4%</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8.5%</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16.5%</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DNR Order</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195 (11.3%)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202 (11.5%)</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1.01 (0.84 - 1.22)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55.8%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3.7%</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40.4%</w:t>
            </w:r>
          </w:p>
        </w:tc>
      </w:tr>
      <w:tr>
        <w:trPr>
          <w:cantSplit/>
        </w:trPr>
        <w:tc>
          <w:tcPr>
            <w:tcW w:w="9360" w:type="dxa"/>
            <w:gridSpan w:val="7"/>
            <w:tcBorders/>
          </w:tcPr>
          <w:p>
            <w:pPr>
              <w:pStyle w:val="Normal"/>
              <w:keepNext w:val="true"/>
              <w:spacing w:before="0" w:after="60"/>
              <w:rPr>
                <w:rFonts w:ascii="Liberation Serif" w:hAnsi="Liberation Serif"/>
              </w:rPr>
            </w:pPr>
            <w:r>
              <w:rPr>
                <w:rFonts w:ascii="Liberation Serif" w:hAnsi="Liberation Serif"/>
                <w:sz w:val="20"/>
              </w:rPr>
              <w:t>Values represent Average Marginal Effects (Odds Ratios for binary outcomes, Incidence Rate Ratios for counts). Models are adjusted for age, admission GCS, ICH location (interaction), ICH volume, IVH, and study. Days of mechanical ventilation represent median (IQR) days (data from ATACH-2 only). ROPE indicates region of practical equivalence (0.95 to 1.05); aOR, adjusted odds ratio; IRR, incidence rate ratio; CrI, credible interval; GCS, Glasgow Coma Scale; ICH, intracerebral hemorrhage; IQR, interquartile range; and IVH, intraventricular hemorrhage.</w:t>
            </w:r>
            <w:bookmarkStart w:id="65" w:name="tbl-2-flat-prior"/>
            <w:bookmarkEnd w:id="65"/>
          </w:p>
        </w:tc>
      </w:tr>
    </w:tbl>
    <w:p>
      <w:pPr>
        <w:pStyle w:val="Heading3"/>
        <w:rPr>
          <w:rFonts w:ascii="Liberation Serif" w:hAnsi="Liberation Serif"/>
        </w:rPr>
      </w:pPr>
      <w:r>
        <w:rPr>
          <w:rFonts w:ascii="Liberation Serif" w:hAnsi="Liberation Serif"/>
        </w:rPr>
        <w:t>Table 3 with Different Priors</w:t>
      </w:r>
    </w:p>
    <w:p>
      <w:pPr>
        <w:pStyle w:val="Heading4"/>
        <w:rPr>
          <w:rFonts w:ascii="Liberation Serif" w:hAnsi="Liberation Serif"/>
        </w:rPr>
      </w:pPr>
      <w:r>
        <w:rPr>
          <w:rFonts w:ascii="Liberation Serif" w:hAnsi="Liberation Serif"/>
        </w:rPr>
        <w:t>Left Hemisphere Prior</w:t>
      </w:r>
    </w:p>
    <w:tbl>
      <w:tblPr>
        <w:tblW w:w="5000" w:type="pct"/>
        <w:jc w:val="left"/>
        <w:tblInd w:w="108" w:type="dxa"/>
        <w:tblLayout w:type="fixed"/>
        <w:tblCellMar>
          <w:top w:w="0" w:type="dxa"/>
          <w:left w:w="108" w:type="dxa"/>
          <w:bottom w:w="0" w:type="dxa"/>
          <w:right w:w="108" w:type="dxa"/>
        </w:tblCellMar>
      </w:tblPr>
      <w:tblGrid>
        <w:gridCol w:w="9360"/>
      </w:tblGrid>
      <w:tr>
        <w:trPr/>
        <w:tc>
          <w:tcPr>
            <w:tcW w:w="9360" w:type="dxa"/>
            <w:tcBorders/>
          </w:tcPr>
          <w:p>
            <w:pPr>
              <w:pStyle w:val="ImageCaption"/>
              <w:spacing w:before="200" w:after="120"/>
              <w:jc w:val="left"/>
              <w:rPr>
                <w:rFonts w:ascii="Liberation Serif" w:hAnsi="Liberation Serif"/>
              </w:rPr>
            </w:pPr>
            <w:r>
              <w:rPr>
                <w:rFonts w:ascii="Liberation Serif" w:hAnsi="Liberation Serif"/>
              </w:rPr>
              <w:t>Table 14</w:t>
            </w:r>
            <w:bookmarkStart w:id="66" w:name="left-hemisphere-prior-2"/>
            <w:bookmarkEnd w:id="66"/>
          </w:p>
        </w:tc>
      </w:tr>
    </w:tbl>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872"/>
        <w:gridCol w:w="1872"/>
        <w:gridCol w:w="1872"/>
        <w:gridCol w:w="1872"/>
        <w:gridCol w:w="1872"/>
      </w:tblGrid>
      <w:tr>
        <w:trPr>
          <w:tblHeader w:val="true"/>
          <w:cantSplit/>
        </w:trPr>
        <w:tc>
          <w:tcPr>
            <w:tcW w:w="1872" w:type="dxa"/>
            <w:tcBorders>
              <w:top w:val="single" w:sz="16" w:space="0" w:color="D3D3D3"/>
              <w:left w:val="single" w:sz="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Outcome</w:t>
            </w:r>
          </w:p>
        </w:tc>
        <w:tc>
          <w:tcPr>
            <w:tcW w:w="1872"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aOR / Mean Diff (95% CrI)</w:t>
            </w:r>
          </w:p>
        </w:tc>
        <w:tc>
          <w:tcPr>
            <w:tcW w:w="1872"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Probability of any difference</w:t>
            </w:r>
          </w:p>
        </w:tc>
        <w:tc>
          <w:tcPr>
            <w:tcW w:w="1872"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Probability of a substantial difference</w:t>
            </w:r>
          </w:p>
        </w:tc>
        <w:tc>
          <w:tcPr>
            <w:tcW w:w="1872" w:type="dxa"/>
            <w:tcBorders>
              <w:top w:val="single" w:sz="1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ROPE</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Modified Rankin Score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0.99 (0.98 - 1.00)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&gt; 99.9%</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Mobility</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1.03 (1.01 - 1.04)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&gt; 99.9%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99.8%</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Self-Care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1.02 (1.01 - 1.04)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&gt; 99.9%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99.8%</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Usual Activities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1.00 (0.99 - 1.00)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13.1%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&gt; 99.9%</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Pain/Discomfort</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1.03 (0.99 - 1.08)</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94.1%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75.4%</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Anxiety/Depression</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1.03 (0.99 - 1.08)</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90.2%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81.8%</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 VAS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-1.8 (-3.7 - 0.0)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97.3%</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56.6%</w:t>
            </w:r>
          </w:p>
        </w:tc>
      </w:tr>
      <w:tr>
        <w:trPr>
          <w:cantSplit/>
        </w:trPr>
        <w:tc>
          <w:tcPr>
            <w:tcW w:w="9360" w:type="dxa"/>
            <w:gridSpan w:val="5"/>
            <w:tcBorders/>
          </w:tcPr>
          <w:p>
            <w:pPr>
              <w:pStyle w:val="Normal"/>
              <w:keepNext w:val="true"/>
              <w:spacing w:before="0" w:after="60"/>
              <w:rPr>
                <w:rFonts w:ascii="Liberation Serif" w:hAnsi="Liberation Serif"/>
              </w:rPr>
            </w:pPr>
            <w:r>
              <w:rPr>
                <w:rFonts w:ascii="Liberation Serif" w:hAnsi="Liberation Serif"/>
                <w:sz w:val="20"/>
              </w:rPr>
              <w:t>Values represent Average Marginal Effects (Odds Ratios for ordinal outcomes; Mean Difference in points [0–100] for Euro VAS). Models are adjusted for age, admission GCS, ICH location, ICH volume, IVH, and study (as random intercept); Reference Category: Left Hemisphere. ROPE indicates region of practical equivalence (0.95 to 1.05 for ordinal; ± 2 points for Euro VAS). For Euro VAS, probability of difference is defined as Mean Difference &lt; 0, and substantial difference as &lt; -5 points. aOR indicates adjusted odds ratio; CrI, credible interval; GCS, Glasgow Coma Scale; ICH, intracerebral hemorrhage; and IVH, intraventricular hemorrhage.</w:t>
            </w:r>
            <w:bookmarkStart w:id="67" w:name="tbl-4-left-prior"/>
            <w:bookmarkEnd w:id="67"/>
          </w:p>
        </w:tc>
      </w:tr>
    </w:tbl>
    <w:p>
      <w:pPr>
        <w:pStyle w:val="Heading4"/>
        <w:rPr>
          <w:rFonts w:ascii="Liberation Serif" w:hAnsi="Liberation Serif"/>
        </w:rPr>
      </w:pPr>
      <w:r>
        <w:rPr>
          <w:rFonts w:ascii="Liberation Serif" w:hAnsi="Liberation Serif"/>
        </w:rPr>
        <w:t>Right Hemisphere Prior</w:t>
      </w:r>
    </w:p>
    <w:tbl>
      <w:tblPr>
        <w:tblW w:w="5000" w:type="pct"/>
        <w:jc w:val="left"/>
        <w:tblInd w:w="108" w:type="dxa"/>
        <w:tblLayout w:type="fixed"/>
        <w:tblCellMar>
          <w:top w:w="0" w:type="dxa"/>
          <w:left w:w="108" w:type="dxa"/>
          <w:bottom w:w="0" w:type="dxa"/>
          <w:right w:w="108" w:type="dxa"/>
        </w:tblCellMar>
      </w:tblPr>
      <w:tblGrid>
        <w:gridCol w:w="9360"/>
      </w:tblGrid>
      <w:tr>
        <w:trPr/>
        <w:tc>
          <w:tcPr>
            <w:tcW w:w="9360" w:type="dxa"/>
            <w:tcBorders/>
          </w:tcPr>
          <w:p>
            <w:pPr>
              <w:pStyle w:val="ImageCaption"/>
              <w:spacing w:before="200" w:after="120"/>
              <w:jc w:val="left"/>
              <w:rPr>
                <w:rFonts w:ascii="Liberation Serif" w:hAnsi="Liberation Serif"/>
              </w:rPr>
            </w:pPr>
            <w:r>
              <w:rPr>
                <w:rFonts w:ascii="Liberation Serif" w:hAnsi="Liberation Serif"/>
              </w:rPr>
              <w:t>Table 15</w:t>
            </w:r>
          </w:p>
        </w:tc>
      </w:tr>
    </w:tbl>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872"/>
        <w:gridCol w:w="1872"/>
        <w:gridCol w:w="1872"/>
        <w:gridCol w:w="1872"/>
        <w:gridCol w:w="1872"/>
      </w:tblGrid>
      <w:tr>
        <w:trPr>
          <w:tblHeader w:val="true"/>
          <w:cantSplit/>
        </w:trPr>
        <w:tc>
          <w:tcPr>
            <w:tcW w:w="1872" w:type="dxa"/>
            <w:tcBorders>
              <w:top w:val="single" w:sz="16" w:space="0" w:color="D3D3D3"/>
              <w:left w:val="single" w:sz="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Outcome</w:t>
            </w:r>
          </w:p>
        </w:tc>
        <w:tc>
          <w:tcPr>
            <w:tcW w:w="1872"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aOR / Mean Diff (95% CrI)</w:t>
            </w:r>
          </w:p>
        </w:tc>
        <w:tc>
          <w:tcPr>
            <w:tcW w:w="1872"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Probability of any difference</w:t>
            </w:r>
          </w:p>
        </w:tc>
        <w:tc>
          <w:tcPr>
            <w:tcW w:w="1872"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Probability of a substantial difference</w:t>
            </w:r>
          </w:p>
        </w:tc>
        <w:tc>
          <w:tcPr>
            <w:tcW w:w="1872" w:type="dxa"/>
            <w:tcBorders>
              <w:top w:val="single" w:sz="1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ROPE</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Modified Rankin Score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0.99 (0.98 - 1.00)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0.3%</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&gt; 99.9%</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Mobility</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1.03 (1.01 - 1.05)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&gt; 99.9%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98.7%</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Self-Care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1.03 (1.02 - 1.05)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&gt; 99.9%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98.6%</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Usual Activities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0.99 (0.99 - 1.00)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&gt; 99.9%</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Pain/Discomfort</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1.05 (1.01 - 1.10)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98.9%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46.4%</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Anxiety/Depression</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1.05 (1.00 - 1.09)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98.2%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54.1%</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 VAS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-1.5 (-3.3 - 0.4)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94.2%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70.9%</w:t>
            </w:r>
          </w:p>
        </w:tc>
      </w:tr>
      <w:tr>
        <w:trPr>
          <w:cantSplit/>
        </w:trPr>
        <w:tc>
          <w:tcPr>
            <w:tcW w:w="9360" w:type="dxa"/>
            <w:gridSpan w:val="5"/>
            <w:tcBorders/>
          </w:tcPr>
          <w:p>
            <w:pPr>
              <w:pStyle w:val="Normal"/>
              <w:keepNext w:val="true"/>
              <w:spacing w:before="0" w:after="60"/>
              <w:rPr>
                <w:rFonts w:ascii="Liberation Serif" w:hAnsi="Liberation Serif"/>
              </w:rPr>
            </w:pPr>
            <w:r>
              <w:rPr>
                <w:rFonts w:ascii="Liberation Serif" w:hAnsi="Liberation Serif"/>
                <w:sz w:val="20"/>
              </w:rPr>
              <w:t>Values represent Average Marginal Effects (Odds Ratios for ordinal outcomes; Mean Difference in points [0–100] for Euro VAS). Models are adjusted for age, admission GCS, ICH location, ICH volume, IVH, and study (as random intercept); Reference Category: Left Hemisphere. ROPE indicates region of practical equivalence (0.95 to 1.05 for ordinal; ± 2 points for Euro VAS). For Euro VAS, probability of difference is defined as Mean Difference &lt; 0, and substantial difference as &lt; -5 points. aOR indicates adjusted odds ratio; CrI, credible interval; GCS, Glasgow Coma Scale; ICH, intracerebral hemorrhage; and IVH, intraventricular hemorrhage.</w:t>
            </w:r>
            <w:bookmarkStart w:id="68" w:name="tbl-4-right-prior"/>
            <w:bookmarkEnd w:id="68"/>
          </w:p>
        </w:tc>
      </w:tr>
    </w:tbl>
    <w:p>
      <w:pPr>
        <w:pStyle w:val="Heading4"/>
        <w:rPr>
          <w:rFonts w:ascii="Liberation Serif" w:hAnsi="Liberation Serif"/>
        </w:rPr>
      </w:pPr>
      <w:r>
        <w:rPr>
          <w:rFonts w:ascii="Liberation Serif" w:hAnsi="Liberation Serif"/>
        </w:rPr>
        <w:t>Diffuse Prior</w:t>
      </w:r>
    </w:p>
    <w:tbl>
      <w:tblPr>
        <w:tblW w:w="5000" w:type="pct"/>
        <w:jc w:val="left"/>
        <w:tblInd w:w="108" w:type="dxa"/>
        <w:tblLayout w:type="fixed"/>
        <w:tblCellMar>
          <w:top w:w="0" w:type="dxa"/>
          <w:left w:w="108" w:type="dxa"/>
          <w:bottom w:w="0" w:type="dxa"/>
          <w:right w:w="108" w:type="dxa"/>
        </w:tblCellMar>
      </w:tblPr>
      <w:tblGrid>
        <w:gridCol w:w="9360"/>
      </w:tblGrid>
      <w:tr>
        <w:trPr/>
        <w:tc>
          <w:tcPr>
            <w:tcW w:w="9360" w:type="dxa"/>
            <w:tcBorders/>
          </w:tcPr>
          <w:p>
            <w:pPr>
              <w:pStyle w:val="ImageCaption"/>
              <w:spacing w:before="200" w:after="120"/>
              <w:jc w:val="left"/>
              <w:rPr>
                <w:rFonts w:ascii="Liberation Serif" w:hAnsi="Liberation Serif"/>
              </w:rPr>
            </w:pPr>
            <w:r>
              <w:rPr>
                <w:rFonts w:ascii="Liberation Serif" w:hAnsi="Liberation Serif"/>
              </w:rPr>
              <w:t>Table 16</w:t>
            </w:r>
          </w:p>
        </w:tc>
      </w:tr>
    </w:tbl>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872"/>
        <w:gridCol w:w="1872"/>
        <w:gridCol w:w="1872"/>
        <w:gridCol w:w="1872"/>
        <w:gridCol w:w="1872"/>
      </w:tblGrid>
      <w:tr>
        <w:trPr>
          <w:tblHeader w:val="true"/>
          <w:cantSplit/>
        </w:trPr>
        <w:tc>
          <w:tcPr>
            <w:tcW w:w="1872" w:type="dxa"/>
            <w:tcBorders>
              <w:top w:val="single" w:sz="16" w:space="0" w:color="D3D3D3"/>
              <w:left w:val="single" w:sz="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Outcome</w:t>
            </w:r>
          </w:p>
        </w:tc>
        <w:tc>
          <w:tcPr>
            <w:tcW w:w="1872"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aOR / Mean Diff (95% CrI)</w:t>
            </w:r>
          </w:p>
        </w:tc>
        <w:tc>
          <w:tcPr>
            <w:tcW w:w="1872"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Probability of any difference</w:t>
            </w:r>
          </w:p>
        </w:tc>
        <w:tc>
          <w:tcPr>
            <w:tcW w:w="1872"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Probability of a substantial difference</w:t>
            </w:r>
          </w:p>
        </w:tc>
        <w:tc>
          <w:tcPr>
            <w:tcW w:w="1872" w:type="dxa"/>
            <w:tcBorders>
              <w:top w:val="single" w:sz="1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ROPE</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Modified Rankin Score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0.99 (0.98 - 1.00)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&gt; 99.9%</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Mobility</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1.03 (1.01 - 1.05)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&gt; 99.9%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98.2%</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Self-Care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1.03 (1.02 - 1.05)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&gt; 99.9%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95.6%</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Usual Activities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0.99 (0.99 - 1.00)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&gt; 99.9%</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Pain/Discomfort</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1.06 (1.01 - 1.11)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99.2%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35.9%</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Anxiety/Depression</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1.04 (0.99 - 1.09)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95.3%</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63.4%</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 VAS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-1.7 (-3.6 - 0.2)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96.1%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62.5%</w:t>
            </w:r>
          </w:p>
        </w:tc>
      </w:tr>
      <w:tr>
        <w:trPr>
          <w:cantSplit/>
        </w:trPr>
        <w:tc>
          <w:tcPr>
            <w:tcW w:w="9360" w:type="dxa"/>
            <w:gridSpan w:val="5"/>
            <w:tcBorders/>
          </w:tcPr>
          <w:p>
            <w:pPr>
              <w:pStyle w:val="Normal"/>
              <w:keepNext w:val="true"/>
              <w:spacing w:before="0" w:after="60"/>
              <w:rPr>
                <w:rFonts w:ascii="Liberation Serif" w:hAnsi="Liberation Serif"/>
              </w:rPr>
            </w:pPr>
            <w:r>
              <w:rPr>
                <w:rFonts w:ascii="Liberation Serif" w:hAnsi="Liberation Serif"/>
                <w:sz w:val="20"/>
              </w:rPr>
              <w:t>Values represent Average Marginal Effects (Odds Ratios for ordinal outcomes; Mean Difference in points [0–100] for Euro VAS). Models are adjusted for age, admission GCS, ICH location, ICH volume, IVH, and study (as random intercept); Reference Category: Left Hemisphere. ROPE indicates region of practical equivalence (0.95 to 1.05 for ordinal; ± 2 points for Euro VAS). For Euro VAS, probability of difference is defined as Mean Difference &lt; 0, and substantial difference as &lt; -5 points. aOR indicates adjusted odds ratio; CrI, credible interval; GCS, Glasgow Coma Scale; ICH, intracerebral hemorrhage; and IVH, intraventricular hemorrhage.</w:t>
            </w:r>
            <w:bookmarkStart w:id="69" w:name="tbl-4-flat-prior"/>
            <w:bookmarkEnd w:id="69"/>
          </w:p>
        </w:tc>
      </w:tr>
    </w:tbl>
    <w:p>
      <w:pPr>
        <w:pStyle w:val="Heading3"/>
        <w:rPr>
          <w:rFonts w:ascii="Liberation Serif" w:hAnsi="Liberation Serif"/>
        </w:rPr>
      </w:pPr>
      <w:r>
        <w:rPr>
          <w:rFonts w:ascii="Liberation Serif" w:hAnsi="Liberation Serif"/>
        </w:rPr>
        <w:t>Complete-Case Sensitivity Analysis</w:t>
      </w:r>
    </w:p>
    <w:p>
      <w:pPr>
        <w:pStyle w:val="FirstParagraph"/>
        <w:rPr>
          <w:rFonts w:ascii="Liberation Serif" w:hAnsi="Liberation Serif"/>
        </w:rPr>
      </w:pPr>
      <w:r>
        <w:rPr>
          <w:rFonts w:ascii="Liberation Serif" w:hAnsi="Liberation Serif"/>
        </w:rPr>
        <w:t>The primary analysis used multiple imputation by chained equations (MICE) with 20 imputed datasets, as described in the main manuscript. As a sensitivity analysis, we repeated the primary models using a complete-case approach (excluding patients with missing outcomes) under the neutral prior with the adjusted covariate set. Three models were fitted to the complete-case data using the following outcomes: neurosurgical intervention, external ventricular drain, and modified Rankin score at 90 days. All models were fitted using Markov Chain Monte Carlo (MCMC) with 4 chains and 5,000 iterations per chain (including a warmup period of 1,000 iterations).</w:t>
      </w:r>
    </w:p>
    <w:tbl>
      <w:tblPr>
        <w:tblW w:w="5000" w:type="pct"/>
        <w:jc w:val="left"/>
        <w:tblInd w:w="108" w:type="dxa"/>
        <w:tblLayout w:type="fixed"/>
        <w:tblCellMar>
          <w:top w:w="0" w:type="dxa"/>
          <w:left w:w="108" w:type="dxa"/>
          <w:bottom w:w="0" w:type="dxa"/>
          <w:right w:w="108" w:type="dxa"/>
        </w:tblCellMar>
      </w:tblPr>
      <w:tblGrid>
        <w:gridCol w:w="9360"/>
      </w:tblGrid>
      <w:tr>
        <w:trPr/>
        <w:tc>
          <w:tcPr>
            <w:tcW w:w="9360" w:type="dxa"/>
            <w:tcBorders/>
          </w:tcPr>
          <w:p>
            <w:pPr>
              <w:pStyle w:val="ImageCaption"/>
              <w:spacing w:before="200" w:after="120"/>
              <w:jc w:val="left"/>
              <w:rPr>
                <w:rFonts w:ascii="Liberation Serif" w:hAnsi="Liberation Serif"/>
              </w:rPr>
            </w:pPr>
            <w:r>
              <w:rPr>
                <w:rFonts w:ascii="Liberation Serif" w:hAnsi="Liberation Serif"/>
              </w:rPr>
              <w:t>Table 17: Outcomes of Interest Using Complete-Case Analysis (Sensitivity)</w:t>
            </w:r>
          </w:p>
        </w:tc>
      </w:tr>
    </w:tbl>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337"/>
        <w:gridCol w:w="1337"/>
        <w:gridCol w:w="1337"/>
        <w:gridCol w:w="1337"/>
        <w:gridCol w:w="1337"/>
        <w:gridCol w:w="1337"/>
        <w:gridCol w:w="1338"/>
      </w:tblGrid>
      <w:tr>
        <w:trPr>
          <w:tblHeader w:val="true"/>
          <w:cantSplit/>
        </w:trPr>
        <w:tc>
          <w:tcPr>
            <w:tcW w:w="1337" w:type="dxa"/>
            <w:tcBorders>
              <w:top w:val="single" w:sz="16" w:space="0" w:color="D3D3D3"/>
              <w:left w:val="single" w:sz="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Outcome</w:t>
            </w:r>
          </w:p>
        </w:tc>
        <w:tc>
          <w:tcPr>
            <w:tcW w:w="1337" w:type="dxa"/>
            <w:tcBorders>
              <w:top w:val="single" w:sz="16" w:space="0" w:color="D3D3D3"/>
              <w:left w:val="single" w:sz="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Left Hemisphere</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Right Hemisphere</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aOR / IRR (95% CrI)</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Probability of difference (Est &gt; 1)</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Probability of substantial difference (Est &gt; 1.2)</w:t>
            </w:r>
          </w:p>
        </w:tc>
        <w:tc>
          <w:tcPr>
            <w:tcW w:w="1338" w:type="dxa"/>
            <w:tcBorders>
              <w:top w:val="single" w:sz="1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ROPE</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Neurosurgical Intervention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86 (5.0%)</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144 (8.2%)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1.65 (1.28 - 2.13)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&gt; 99.9%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99.3%</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External Ventricular Drain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236 (13.7%)</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272 (15.5%)</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1.22 (1.04 - 1.44)</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58.7%</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3.3%</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Days of Mechanical Ventilation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 (3 – 12)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 (3 – 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0.99 (0.89 - 1.09)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65.6%</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Tracheostomy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19 (1.1%)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19 (1.1%)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1.12 (0.66 - 1.94)</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66.8%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40.7%</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13.5%</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Withdrawal of Life-Sustaining Therapy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152 (8.8%)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143 (8.1%)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0.95 (0.76 - 1.17)</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30.2%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1.5%</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31.4%</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Early Withdrawal of Life-Sustaining Therapy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45 (2.6%)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39 (2.2%)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0.92 (0.64 - 1.34)</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33.3%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8.6%</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19.3%</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DNR Order</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195 (11.3%)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202 (11.5%)</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1.01 (0.84 - 1.21)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54.9%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42.2%</w:t>
            </w:r>
          </w:p>
        </w:tc>
      </w:tr>
      <w:tr>
        <w:trPr>
          <w:cantSplit/>
        </w:trPr>
        <w:tc>
          <w:tcPr>
            <w:tcW w:w="9360" w:type="dxa"/>
            <w:gridSpan w:val="7"/>
            <w:tcBorders/>
          </w:tcPr>
          <w:p>
            <w:pPr>
              <w:pStyle w:val="Normal"/>
              <w:keepNext w:val="true"/>
              <w:spacing w:before="0" w:after="60"/>
              <w:rPr>
                <w:rFonts w:ascii="Liberation Serif" w:hAnsi="Liberation Serif"/>
              </w:rPr>
            </w:pPr>
            <w:r>
              <w:rPr>
                <w:rFonts w:ascii="Liberation Serif" w:hAnsi="Liberation Serif"/>
                <w:sz w:val="20"/>
              </w:rPr>
              <w:t>Values represent Average Marginal Effects (Odds Ratios for binary outcomes, Incidence Rate Ratios for counts). Models are adjusted for age, admission GCS, ICH location (interaction), ICH volume, IVH, and study. Days of mechanical ventilation represent median (IQR) days (data from ATACH-2 only). ROPE indicates region of practical equivalence (0.95 to 1.05); aOR, adjusted odds ratio; IRR, incidence rate ratio; CrI, credible interval; GCS, Glasgow Coma Scale; ICH, intracerebral hemorrhage; IQR, interquartile range; and IVH, intraventricular hemorrhage.</w:t>
            </w:r>
            <w:bookmarkStart w:id="70" w:name="tbl-complete-case-sensitivity"/>
            <w:bookmarkEnd w:id="70"/>
          </w:p>
        </w:tc>
      </w:tr>
    </w:tbl>
    <w:p>
      <w:pPr>
        <w:pStyle w:val="Heading3"/>
        <w:rPr>
          <w:rFonts w:ascii="Liberation Serif" w:hAnsi="Liberation Serif"/>
        </w:rPr>
      </w:pPr>
      <w:r>
        <w:rPr>
          <w:rFonts w:ascii="Liberation Serif" w:hAnsi="Liberation Serif"/>
        </w:rPr>
        <w:t>Site-Level Clustering Sensitivity Analysis</w:t>
      </w:r>
    </w:p>
    <w:p>
      <w:pPr>
        <w:pStyle w:val="FirstParagraph"/>
        <w:rPr>
          <w:rFonts w:ascii="Liberation Serif" w:hAnsi="Liberation Serif"/>
        </w:rPr>
      </w:pPr>
      <w:r>
        <w:rPr>
          <w:rFonts w:ascii="Liberation Serif" w:hAnsi="Liberation Serif"/>
        </w:rPr>
        <w:t>Neurosurgical decision-making is highly influenced by local practice patterns, institutional resources, and surgeon availability. Our primary models included a random intercept for study (ATACH-2 versus ERICH) to account for systematic differences between the two cohorts, but this two-level random effect is unlikely to fully capture the heterogeneity in clinical practice across the many individual hospital sites within each study.</w:t>
      </w:r>
    </w:p>
    <w:p>
      <w:pPr>
        <w:pStyle w:val="BodyText"/>
        <w:rPr>
          <w:rFonts w:ascii="Liberation Serif" w:hAnsi="Liberation Serif"/>
        </w:rPr>
      </w:pPr>
      <w:r>
        <w:rPr>
          <w:rFonts w:ascii="Liberation Serif" w:hAnsi="Liberation Serif"/>
        </w:rPr>
        <w:t>Ideally, we would have included a random intercept for hospital site in all models. However, site-level identifiers were only available for the ATACH-2 cohort and were not included in the ERICH dataset. To assess the potential impact of site-level clustering on our primary finding, we performed a sensitivity analysis restricted to the ATACH-2 cohort, where we fitted two versions of the primary model for neurosurgical intervention:</w:t>
      </w:r>
    </w:p>
    <w:p>
      <w:pPr>
        <w:pStyle w:val="Normal"/>
        <w:numPr>
          <w:ilvl w:val="0"/>
          <w:numId w:val="4"/>
        </w:numPr>
        <w:rPr>
          <w:rFonts w:ascii="Liberation Serif" w:hAnsi="Liberation Serif"/>
        </w:rPr>
      </w:pPr>
      <w:r>
        <w:rPr>
          <w:rFonts w:ascii="Liberation Serif" w:hAnsi="Liberation Serif"/>
          <w:b/>
          <w:bCs/>
        </w:rPr>
        <w:t>Base model</w:t>
      </w:r>
      <w:r>
        <w:rPr>
          <w:rFonts w:ascii="Liberation Serif" w:hAnsi="Liberation Serif"/>
        </w:rPr>
        <w:t>: The same model specification as the primary analysis (adjusted for ICH location, age, GCS, ICH volume, IVH, and an ICH laterality-by-location interaction) but without any random intercept, since ATACH-2 is a single study.</w:t>
      </w:r>
    </w:p>
    <w:p>
      <w:pPr>
        <w:pStyle w:val="Normal"/>
        <w:numPr>
          <w:ilvl w:val="0"/>
          <w:numId w:val="2"/>
        </w:numPr>
        <w:rPr>
          <w:rFonts w:ascii="Liberation Serif" w:hAnsi="Liberation Serif"/>
        </w:rPr>
      </w:pPr>
      <w:r>
        <w:rPr>
          <w:rFonts w:ascii="Liberation Serif" w:hAnsi="Liberation Serif"/>
          <w:b/>
          <w:bCs/>
        </w:rPr>
        <w:t>Site random-effect model</w:t>
      </w:r>
      <w:r>
        <w:rPr>
          <w:rFonts w:ascii="Liberation Serif" w:hAnsi="Liberation Serif"/>
        </w:rPr>
        <w:t>: The same model specification with the addition of a random intercept for hospital site, allowing the baseline probability of neurosurgical intervention to vary across sites.</w:t>
      </w:r>
    </w:p>
    <w:p>
      <w:pPr>
        <w:pStyle w:val="FirstParagraph"/>
        <w:rPr>
          <w:rFonts w:ascii="Liberation Serif" w:hAnsi="Liberation Serif"/>
        </w:rPr>
      </w:pPr>
      <w:r>
        <w:rPr>
          <w:rFonts w:ascii="Liberation Serif" w:hAnsi="Liberation Serif"/>
        </w:rPr>
        <w:t>Both models were fitted using multiple imputation (20 imputed datasets) with the neutral prior under the adjusted covariate set. The table below compares the posterior estimates for the association between hemispheric laterality and neurosurgical intervention from both models.</w:t>
      </w:r>
    </w:p>
    <w:tbl>
      <w:tblPr>
        <w:tblW w:w="5000" w:type="pct"/>
        <w:jc w:val="left"/>
        <w:tblInd w:w="108" w:type="dxa"/>
        <w:tblLayout w:type="fixed"/>
        <w:tblCellMar>
          <w:top w:w="0" w:type="dxa"/>
          <w:left w:w="108" w:type="dxa"/>
          <w:bottom w:w="0" w:type="dxa"/>
          <w:right w:w="108" w:type="dxa"/>
        </w:tblCellMar>
      </w:tblPr>
      <w:tblGrid>
        <w:gridCol w:w="9360"/>
      </w:tblGrid>
      <w:tr>
        <w:trPr/>
        <w:tc>
          <w:tcPr>
            <w:tcW w:w="9360" w:type="dxa"/>
            <w:tcBorders/>
          </w:tcPr>
          <w:p>
            <w:pPr>
              <w:pStyle w:val="ImageCaption"/>
              <w:spacing w:before="200" w:after="120"/>
              <w:jc w:val="left"/>
              <w:rPr>
                <w:rFonts w:ascii="Liberation Serif" w:hAnsi="Liberation Serif"/>
              </w:rPr>
            </w:pPr>
            <w:r>
              <w:rPr>
                <w:rFonts w:ascii="Liberation Serif" w:hAnsi="Liberation Serif"/>
              </w:rPr>
              <w:t>Table 18: ATACH-2 Sensitivity Analysis: Association of Hemispheric Laterality with Neurosurgical Intervention With and Without Site-Level Random Intercept</w:t>
            </w:r>
          </w:p>
        </w:tc>
      </w:tr>
    </w:tbl>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337"/>
        <w:gridCol w:w="1337"/>
        <w:gridCol w:w="1337"/>
        <w:gridCol w:w="1337"/>
        <w:gridCol w:w="1337"/>
        <w:gridCol w:w="1337"/>
        <w:gridCol w:w="1338"/>
      </w:tblGrid>
      <w:tr>
        <w:trPr>
          <w:tblHeader w:val="true"/>
          <w:cantSplit/>
        </w:trPr>
        <w:tc>
          <w:tcPr>
            <w:tcW w:w="1337" w:type="dxa"/>
            <w:tcBorders>
              <w:top w:val="single" w:sz="16" w:space="0" w:color="D3D3D3"/>
              <w:left w:val="single" w:sz="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ATACH-2 Model Variants</w:t>
            </w:r>
          </w:p>
        </w:tc>
        <w:tc>
          <w:tcPr>
            <w:tcW w:w="1337" w:type="dxa"/>
            <w:tcBorders>
              <w:top w:val="single" w:sz="16" w:space="0" w:color="D3D3D3"/>
              <w:left w:val="single" w:sz="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Left Hemisphere</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Right Hemisphere</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aOR (95% CI)</w:t>
            </w:r>
            <w:r>
              <w:rPr>
                <w:rFonts w:ascii="Liberation Serif" w:hAnsi="Liberation Serif"/>
                <w:i/>
                <w:sz w:val="20"/>
                <w:vertAlign w:val="superscript"/>
              </w:rPr>
              <w:t>1</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Prob(aOR &gt; 1)</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Prob(aOR &gt; 1.2)</w:t>
            </w:r>
          </w:p>
        </w:tc>
        <w:tc>
          <w:tcPr>
            <w:tcW w:w="1338" w:type="dxa"/>
            <w:tcBorders>
              <w:top w:val="single" w:sz="1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ROPE</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ATACH-2 (Base Model)</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13 (2.8%)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30 (5.8%)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2.23 (1.31 - 3.76)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1.00</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0.99</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0.00</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ATACH-2 (Site Random Effect)</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13 (2.8%)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30 (5.8%)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1.86 (1.10 - 3.16)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0.95</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0.01</w:t>
            </w:r>
          </w:p>
        </w:tc>
      </w:tr>
      <w:tr>
        <w:trPr>
          <w:cantSplit/>
        </w:trPr>
        <w:tc>
          <w:tcPr>
            <w:tcW w:w="9360" w:type="dxa"/>
            <w:gridSpan w:val="7"/>
            <w:tcBorders/>
          </w:tcPr>
          <w:p>
            <w:pPr>
              <w:pStyle w:val="Normal"/>
              <w:keepNext w:val="true"/>
              <w:spacing w:before="0" w:after="60"/>
              <w:rPr>
                <w:rFonts w:ascii="Liberation Serif" w:hAnsi="Liberation Serif"/>
              </w:rPr>
            </w:pPr>
            <w:r>
              <w:rPr>
                <w:rFonts w:ascii="Liberation Serif" w:hAnsi="Liberation Serif"/>
                <w:i/>
                <w:sz w:val="20"/>
                <w:vertAlign w:val="superscript"/>
              </w:rPr>
              <w:t>1</w:t>
            </w:r>
            <w:r>
              <w:rPr>
                <w:rFonts w:ascii="Liberation Serif" w:hAnsi="Liberation Serif"/>
                <w:sz w:val="20"/>
              </w:rPr>
              <w:t>aOR = adjusted odds ratio, CI = 95% credible interval.</w:t>
            </w:r>
            <w:bookmarkStart w:id="71" w:name="tbl-atach-site-sensitivity"/>
            <w:bookmarkEnd w:id="71"/>
          </w:p>
        </w:tc>
      </w:tr>
    </w:tbl>
    <w:p>
      <w:pPr>
        <w:pStyle w:val="BodyText"/>
        <w:rPr>
          <w:rFonts w:ascii="Liberation Serif" w:hAnsi="Liberation Serif"/>
        </w:rPr>
      </w:pPr>
      <w:r>
        <w:rPr>
          <w:rFonts w:ascii="Liberation Serif" w:hAnsi="Liberation Serif"/>
        </w:rPr>
        <w:t>Inclusion of the site-level random intercept slightly attenuated the point estimate for the laterality association and widened the credible interval, which is expected given the additional variance component and the smaller sample size of the ATACH-2 cohort alone. However, the direction, magnitude, and posterior probability of the association remained consistent with the primary analysis, suggesting that site-level clustering does not materially alter the principal finding.</w:t>
      </w:r>
    </w:p>
    <w:p>
      <w:pPr>
        <w:pStyle w:val="Normal"/>
        <w:rPr>
          <w:rFonts w:ascii="Liberation Serif" w:hAnsi="Liberation Serif"/>
        </w:rPr>
      </w:pPr>
      <w:r>
        <w:rPr>
          <w:rFonts w:ascii="Liberation Serif" w:hAnsi="Liberation Serif"/>
        </w:rPr>
      </w:r>
      <w:bookmarkEnd w:id="58"/>
      <w:r>
        <w:br w:type="page"/>
      </w:r>
    </w:p>
    <w:p>
      <w:pPr>
        <w:pStyle w:val="Heading2"/>
        <w:spacing w:before="0" w:after="80"/>
        <w:rPr>
          <w:rFonts w:ascii="Liberation Serif" w:hAnsi="Liberation Serif"/>
        </w:rPr>
      </w:pPr>
      <w:bookmarkStart w:id="72" w:name="references-and-software-bibliography"/>
      <w:r>
        <w:rPr>
          <w:rFonts w:ascii="Liberation Serif" w:hAnsi="Liberation Serif"/>
        </w:rPr>
        <w:t>References and Software Bibliography</w:t>
      </w:r>
    </w:p>
    <w:p>
      <w:pPr>
        <w:pStyle w:val="FirstParagraph"/>
        <w:rPr/>
      </w:pPr>
      <w:r>
        <w:rPr>
          <w:rFonts w:ascii="Liberation Serif" w:hAnsi="Liberation Serif"/>
        </w:rPr>
        <w:t xml:space="preserve">The statistical analysis and data processing for this manuscript were conducted using the R programming language. To facilitate reproducibility and to credit the developers of the open-source tools utilized in this research, a complete software bibliography was automatically generated using the </w:t>
      </w:r>
      <w:r>
        <w:rPr>
          <w:rStyle w:val="VerbatimChar"/>
          <w:rFonts w:ascii="Liberation Serif" w:hAnsi="Liberation Serif"/>
        </w:rPr>
        <w:t>softbib</w:t>
      </w:r>
      <w:r>
        <w:rPr>
          <w:rFonts w:ascii="Liberation Serif" w:hAnsi="Liberation Serif"/>
        </w:rPr>
        <w:t xml:space="preserve"> package.</w:t>
      </w:r>
    </w:p>
    <w:p>
      <w:pPr>
        <w:pStyle w:val="Bibliography"/>
        <w:rPr/>
      </w:pPr>
      <w:bookmarkStart w:id="73" w:name="refs"/>
      <w:bookmarkStart w:id="74" w:name="ref-tennantUseDirectedAcyclic2021"/>
      <w:r>
        <w:rPr>
          <w:rFonts w:ascii="Liberation Serif" w:hAnsi="Liberation Serif"/>
        </w:rPr>
        <w:t xml:space="preserve">1. </w:t>
        <w:tab/>
        <w:t xml:space="preserve">Tennant PWG, Murray EJ, Arnold KF, Berrie L, Fox MP, Gadd SC, Harrison WJ, Keeble C, Ranker LR, Textor J, et al. </w:t>
      </w:r>
      <w:hyperlink r:id="rId41">
        <w:r>
          <w:rPr>
            <w:rStyle w:val="Hyperlink"/>
            <w:rFonts w:ascii="Liberation Serif" w:hAnsi="Liberation Serif"/>
          </w:rPr>
          <w:t>Use of directed acyclic graphs (DAGs) to identify confounders in applied health research: Review and recommendations</w:t>
        </w:r>
      </w:hyperlink>
      <w:r>
        <w:rPr>
          <w:rFonts w:ascii="Liberation Serif" w:hAnsi="Liberation Serif"/>
        </w:rPr>
        <w:t xml:space="preserve">. </w:t>
      </w:r>
      <w:r>
        <w:rPr>
          <w:rFonts w:ascii="Liberation Serif" w:hAnsi="Liberation Serif"/>
          <w:i/>
          <w:iCs/>
        </w:rPr>
        <w:t>International Journal of Epidemiology</w:t>
      </w:r>
      <w:r>
        <w:rPr>
          <w:rFonts w:ascii="Liberation Serif" w:hAnsi="Liberation Serif"/>
        </w:rPr>
        <w:t xml:space="preserve">. 2021;50:620–632. </w:t>
      </w:r>
      <w:bookmarkEnd w:id="74"/>
    </w:p>
    <w:p>
      <w:pPr>
        <w:pStyle w:val="Bibliography"/>
        <w:rPr/>
      </w:pPr>
      <w:bookmarkStart w:id="75" w:name="ref-zampieriUsingBayesianMethods2021"/>
      <w:r>
        <w:rPr>
          <w:rFonts w:ascii="Liberation Serif" w:hAnsi="Liberation Serif"/>
        </w:rPr>
        <w:t xml:space="preserve">2. </w:t>
        <w:tab/>
        <w:t xml:space="preserve">Zampieri FG, Casey JD, Shankar-Hari M, Harrell FE, Harhay MO. </w:t>
      </w:r>
      <w:hyperlink r:id="rId42">
        <w:r>
          <w:rPr>
            <w:rStyle w:val="Hyperlink"/>
            <w:rFonts w:ascii="Liberation Serif" w:hAnsi="Liberation Serif"/>
          </w:rPr>
          <w:t>Using Bayesian Methods to Augment the Interpretation of Critical Care Trials. An Overview of Theory and Example Reanalysis of the Alveolar Recruitment for Acute Respiratory Distress Syndrome Trial</w:t>
        </w:r>
      </w:hyperlink>
      <w:r>
        <w:rPr>
          <w:rFonts w:ascii="Liberation Serif" w:hAnsi="Liberation Serif"/>
        </w:rPr>
        <w:t xml:space="preserve">. </w:t>
      </w:r>
      <w:r>
        <w:rPr>
          <w:rFonts w:ascii="Liberation Serif" w:hAnsi="Liberation Serif"/>
          <w:i/>
          <w:iCs/>
        </w:rPr>
        <w:t>American Journal of Respiratory and Critical Care Medicine</w:t>
      </w:r>
      <w:r>
        <w:rPr>
          <w:rFonts w:ascii="Liberation Serif" w:hAnsi="Liberation Serif"/>
        </w:rPr>
        <w:t xml:space="preserve">. 2021;203:543–552. </w:t>
      </w:r>
      <w:bookmarkEnd w:id="75"/>
    </w:p>
    <w:p>
      <w:pPr>
        <w:pStyle w:val="Bibliography"/>
        <w:rPr/>
      </w:pPr>
      <w:bookmarkStart w:id="76" w:name="Xfbc06ab4e8a143dd15dec8dfd06cc82cc01ab3c"/>
      <w:r>
        <w:rPr>
          <w:rFonts w:ascii="Liberation Serif" w:hAnsi="Liberation Serif"/>
        </w:rPr>
        <w:t xml:space="preserve">3. </w:t>
        <w:tab/>
        <w:t xml:space="preserve">Kruschke JK. </w:t>
      </w:r>
      <w:hyperlink r:id="rId43">
        <w:r>
          <w:rPr>
            <w:rStyle w:val="Hyperlink"/>
            <w:rFonts w:ascii="Liberation Serif" w:hAnsi="Liberation Serif"/>
          </w:rPr>
          <w:t>Bayesian Analysis Reporting Guidelines</w:t>
        </w:r>
      </w:hyperlink>
      <w:r>
        <w:rPr>
          <w:rFonts w:ascii="Liberation Serif" w:hAnsi="Liberation Serif"/>
        </w:rPr>
        <w:t xml:space="preserve">. </w:t>
      </w:r>
      <w:r>
        <w:rPr>
          <w:rFonts w:ascii="Liberation Serif" w:hAnsi="Liberation Serif"/>
          <w:i/>
          <w:iCs/>
        </w:rPr>
        <w:t>Nature Human Behaviour</w:t>
      </w:r>
      <w:r>
        <w:rPr>
          <w:rFonts w:ascii="Liberation Serif" w:hAnsi="Liberation Serif"/>
        </w:rPr>
        <w:t xml:space="preserve">. 2021;5:1282–1291. </w:t>
      </w:r>
      <w:bookmarkEnd w:id="76"/>
    </w:p>
    <w:p>
      <w:pPr>
        <w:pStyle w:val="Bibliography"/>
        <w:rPr/>
      </w:pPr>
      <w:bookmarkStart w:id="77" w:name="ref-gelmanBayesianWorkflow2020"/>
      <w:r>
        <w:rPr>
          <w:rFonts w:ascii="Liberation Serif" w:hAnsi="Liberation Serif"/>
        </w:rPr>
        <w:t xml:space="preserve">4. </w:t>
        <w:tab/>
        <w:t xml:space="preserve">Gelman A, Vehtari A, Simpson D, Margossian CC, Carpenter B, Yao Y, Kennedy L, Gabry J, Bürkner P-C, Modrák M. Bayesian Workflow [Internet]. 2020 [cited 2024 June 26];Available from: </w:t>
      </w:r>
      <w:hyperlink r:id="rId44">
        <w:r>
          <w:rPr>
            <w:rStyle w:val="Hyperlink"/>
            <w:rFonts w:ascii="Liberation Serif" w:hAnsi="Liberation Serif"/>
          </w:rPr>
          <w:t>https://arxiv.org/abs/2011.01808</w:t>
        </w:r>
      </w:hyperlink>
      <w:bookmarkEnd w:id="0"/>
      <w:bookmarkEnd w:id="72"/>
      <w:bookmarkEnd w:id="73"/>
      <w:bookmarkEnd w:id="77"/>
    </w:p>
    <w:p>
      <w:pPr>
        <w:pStyle w:val="Heading1"/>
        <w:rPr>
          <w:rFonts w:ascii="Liberation Serif" w:hAnsi="Liberation Serif"/>
        </w:rPr>
      </w:pPr>
      <w:bookmarkStart w:id="78" w:name="software-bibliography"/>
      <w:r>
        <w:rPr>
          <w:rFonts w:ascii="Liberation Serif" w:hAnsi="Liberation Serif"/>
        </w:rPr>
        <w:t>Software Bibliography</w:t>
      </w:r>
    </w:p>
    <w:p>
      <w:pPr>
        <w:pStyle w:val="Bibliography"/>
        <w:rPr/>
      </w:pPr>
      <w:bookmarkStart w:id="79" w:name="refs_Copy_1"/>
      <w:bookmarkStart w:id="80" w:name="ref-quarto"/>
      <w:r>
        <w:rPr>
          <w:rFonts w:ascii="Liberation Serif" w:hAnsi="Liberation Serif"/>
        </w:rPr>
        <w:t xml:space="preserve">Allaire, JJ, and Christophe Dervieux. 2025. </w:t>
      </w:r>
      <w:r>
        <w:rPr>
          <w:rFonts w:ascii="Liberation Serif" w:hAnsi="Liberation Serif"/>
          <w:i/>
          <w:iCs/>
        </w:rPr>
        <w:t>Quarto: R Interface to ’Quarto’ Markdown Publishing System</w:t>
      </w:r>
      <w:r>
        <w:rPr>
          <w:rFonts w:ascii="Liberation Serif" w:hAnsi="Liberation Serif"/>
        </w:rPr>
        <w:t xml:space="preserve">. </w:t>
      </w:r>
      <w:hyperlink r:id="rId45">
        <w:r>
          <w:rPr>
            <w:rStyle w:val="Hyperlink"/>
            <w:rFonts w:ascii="Liberation Serif" w:hAnsi="Liberation Serif"/>
          </w:rPr>
          <w:t>https://doi.org/10.32614/CRAN.package.quarto</w:t>
        </w:r>
      </w:hyperlink>
      <w:r>
        <w:rPr>
          <w:rFonts w:ascii="Liberation Serif" w:hAnsi="Liberation Serif"/>
        </w:rPr>
        <w:t>.</w:t>
      </w:r>
      <w:bookmarkEnd w:id="80"/>
    </w:p>
    <w:p>
      <w:pPr>
        <w:pStyle w:val="Bibliography"/>
        <w:rPr/>
      </w:pPr>
      <w:bookmarkStart w:id="81" w:name="ref-rmarkdown1"/>
      <w:r>
        <w:rPr>
          <w:rFonts w:ascii="Liberation Serif" w:hAnsi="Liberation Serif"/>
        </w:rPr>
        <w:t xml:space="preserve">Allaire, JJ, Yihui Xie, Christophe Dervieux, et al. 2026. </w:t>
      </w:r>
      <w:r>
        <w:rPr>
          <w:rFonts w:ascii="Liberation Serif" w:hAnsi="Liberation Serif"/>
          <w:i/>
          <w:iCs/>
        </w:rPr>
        <w:t>Rmarkdown: Dynamic Documents for r</w:t>
      </w:r>
      <w:r>
        <w:rPr>
          <w:rFonts w:ascii="Liberation Serif" w:hAnsi="Liberation Serif"/>
        </w:rPr>
        <w:t xml:space="preserve">. </w:t>
      </w:r>
      <w:hyperlink r:id="rId46">
        <w:r>
          <w:rPr>
            <w:rStyle w:val="Hyperlink"/>
            <w:rFonts w:ascii="Liberation Serif" w:hAnsi="Liberation Serif"/>
          </w:rPr>
          <w:t>https://github.com/rstudio/rmarkdown</w:t>
        </w:r>
      </w:hyperlink>
      <w:r>
        <w:rPr>
          <w:rFonts w:ascii="Liberation Serif" w:hAnsi="Liberation Serif"/>
        </w:rPr>
        <w:t>.</w:t>
      </w:r>
      <w:bookmarkEnd w:id="81"/>
    </w:p>
    <w:p>
      <w:pPr>
        <w:pStyle w:val="Bibliography"/>
        <w:rPr/>
      </w:pPr>
      <w:bookmarkStart w:id="82" w:name="ref-modelsummary"/>
      <w:r>
        <w:rPr>
          <w:rFonts w:ascii="Liberation Serif" w:hAnsi="Liberation Serif"/>
        </w:rPr>
        <w:t xml:space="preserve">Arel-Bundock, Vincent. 2022. “modelsummary: Data and Model Summaries in R.” </w:t>
      </w:r>
      <w:r>
        <w:rPr>
          <w:rFonts w:ascii="Liberation Serif" w:hAnsi="Liberation Serif"/>
          <w:i/>
          <w:iCs/>
        </w:rPr>
        <w:t>Journal of Statistical Software</w:t>
      </w:r>
      <w:r>
        <w:rPr>
          <w:rFonts w:ascii="Liberation Serif" w:hAnsi="Liberation Serif"/>
        </w:rPr>
        <w:t xml:space="preserve"> 103 (1): 1–23. </w:t>
      </w:r>
      <w:hyperlink r:id="rId47">
        <w:r>
          <w:rPr>
            <w:rStyle w:val="Hyperlink"/>
            <w:rFonts w:ascii="Liberation Serif" w:hAnsi="Liberation Serif"/>
          </w:rPr>
          <w:t>https://doi.org/10.18637/jss.v103.i01</w:t>
        </w:r>
      </w:hyperlink>
      <w:r>
        <w:rPr>
          <w:rFonts w:ascii="Liberation Serif" w:hAnsi="Liberation Serif"/>
        </w:rPr>
        <w:t>.</w:t>
      </w:r>
      <w:bookmarkEnd w:id="82"/>
    </w:p>
    <w:p>
      <w:pPr>
        <w:pStyle w:val="Bibliography"/>
        <w:rPr/>
      </w:pPr>
      <w:bookmarkStart w:id="83" w:name="ref-marginaleffects"/>
      <w:r>
        <w:rPr>
          <w:rFonts w:ascii="Liberation Serif" w:hAnsi="Liberation Serif"/>
        </w:rPr>
        <w:t xml:space="preserve">Arel-Bundock, Vincent, Noah Greifer, and Andrew Heiss. 2024. “How to Interpret Statistical Models Using marginaleffects for R and Python.” </w:t>
      </w:r>
      <w:r>
        <w:rPr>
          <w:rFonts w:ascii="Liberation Serif" w:hAnsi="Liberation Serif"/>
          <w:i/>
          <w:iCs/>
        </w:rPr>
        <w:t>Journal of Statistical Software</w:t>
      </w:r>
      <w:r>
        <w:rPr>
          <w:rFonts w:ascii="Liberation Serif" w:hAnsi="Liberation Serif"/>
        </w:rPr>
        <w:t xml:space="preserve"> 111 (9): 1–32. </w:t>
      </w:r>
      <w:hyperlink r:id="rId48">
        <w:r>
          <w:rPr>
            <w:rStyle w:val="Hyperlink"/>
            <w:rFonts w:ascii="Liberation Serif" w:hAnsi="Liberation Serif"/>
          </w:rPr>
          <w:t>https://doi.org/10.18637/jss.v111.i09</w:t>
        </w:r>
      </w:hyperlink>
      <w:r>
        <w:rPr>
          <w:rFonts w:ascii="Liberation Serif" w:hAnsi="Liberation Serif"/>
        </w:rPr>
        <w:t>.</w:t>
      </w:r>
      <w:bookmarkEnd w:id="83"/>
    </w:p>
    <w:p>
      <w:pPr>
        <w:pStyle w:val="Bibliography"/>
        <w:rPr/>
      </w:pPr>
      <w:bookmarkStart w:id="84" w:name="ref-ggdag"/>
      <w:r>
        <w:rPr>
          <w:rFonts w:ascii="Liberation Serif" w:hAnsi="Liberation Serif"/>
        </w:rPr>
        <w:t xml:space="preserve">Barrett, Malcolm. 2024. </w:t>
      </w:r>
      <w:r>
        <w:rPr>
          <w:rFonts w:ascii="Liberation Serif" w:hAnsi="Liberation Serif"/>
          <w:i/>
          <w:iCs/>
        </w:rPr>
        <w:t>Ggdag: Analyze and Create Elegant Directed Acyclic Graphs</w:t>
      </w:r>
      <w:r>
        <w:rPr>
          <w:rFonts w:ascii="Liberation Serif" w:hAnsi="Liberation Serif"/>
        </w:rPr>
        <w:t xml:space="preserve">. </w:t>
      </w:r>
      <w:hyperlink r:id="rId49">
        <w:r>
          <w:rPr>
            <w:rStyle w:val="Hyperlink"/>
            <w:rFonts w:ascii="Liberation Serif" w:hAnsi="Liberation Serif"/>
          </w:rPr>
          <w:t>https://doi.org/10.32614/CRAN.package.ggdag</w:t>
        </w:r>
      </w:hyperlink>
      <w:r>
        <w:rPr>
          <w:rFonts w:ascii="Liberation Serif" w:hAnsi="Liberation Serif"/>
        </w:rPr>
        <w:t>.</w:t>
      </w:r>
      <w:bookmarkEnd w:id="84"/>
    </w:p>
    <w:p>
      <w:pPr>
        <w:pStyle w:val="Bibliography"/>
        <w:rPr/>
      </w:pPr>
      <w:bookmarkStart w:id="85" w:name="ref-future"/>
      <w:r>
        <w:rPr>
          <w:rFonts w:ascii="Liberation Serif" w:hAnsi="Liberation Serif"/>
        </w:rPr>
        <w:t xml:space="preserve">Bengtsson, Henrik. 2021a. “A Unifying Framework for Parallel and Distributed Processing in r Using Futures.” </w:t>
      </w:r>
      <w:r>
        <w:rPr>
          <w:rFonts w:ascii="Liberation Serif" w:hAnsi="Liberation Serif"/>
          <w:i/>
          <w:iCs/>
        </w:rPr>
        <w:t>The R Journal</w:t>
      </w:r>
      <w:r>
        <w:rPr>
          <w:rFonts w:ascii="Liberation Serif" w:hAnsi="Liberation Serif"/>
        </w:rPr>
        <w:t xml:space="preserve"> 13 (2): 208–27. </w:t>
      </w:r>
      <w:hyperlink r:id="rId50">
        <w:r>
          <w:rPr>
            <w:rStyle w:val="Hyperlink"/>
            <w:rFonts w:ascii="Liberation Serif" w:hAnsi="Liberation Serif"/>
          </w:rPr>
          <w:t>https://doi.org/10.32614/RJ-2021-048</w:t>
        </w:r>
      </w:hyperlink>
      <w:r>
        <w:rPr>
          <w:rFonts w:ascii="Liberation Serif" w:hAnsi="Liberation Serif"/>
        </w:rPr>
        <w:t>.</w:t>
      </w:r>
      <w:bookmarkEnd w:id="85"/>
    </w:p>
    <w:p>
      <w:pPr>
        <w:pStyle w:val="Bibliography"/>
        <w:rPr/>
      </w:pPr>
      <w:bookmarkStart w:id="86" w:name="ref-future.callr"/>
      <w:r>
        <w:rPr>
          <w:rFonts w:ascii="Liberation Serif" w:hAnsi="Liberation Serif"/>
        </w:rPr>
        <w:t xml:space="preserve">Bengtsson, Henrik. 2021b. “A Unifying Framework for Parallel and Distributed Processing in r Using Futures.” </w:t>
      </w:r>
      <w:r>
        <w:rPr>
          <w:rFonts w:ascii="Liberation Serif" w:hAnsi="Liberation Serif"/>
          <w:i/>
          <w:iCs/>
        </w:rPr>
        <w:t>The R Journal</w:t>
      </w:r>
      <w:r>
        <w:rPr>
          <w:rFonts w:ascii="Liberation Serif" w:hAnsi="Liberation Serif"/>
        </w:rPr>
        <w:t xml:space="preserve"> 13 (2): 208–27. </w:t>
      </w:r>
      <w:hyperlink r:id="rId51">
        <w:r>
          <w:rPr>
            <w:rStyle w:val="Hyperlink"/>
            <w:rFonts w:ascii="Liberation Serif" w:hAnsi="Liberation Serif"/>
          </w:rPr>
          <w:t>https://doi.org/10.32614/RJ-2021-048</w:t>
        </w:r>
      </w:hyperlink>
      <w:r>
        <w:rPr>
          <w:rFonts w:ascii="Liberation Serif" w:hAnsi="Liberation Serif"/>
        </w:rPr>
        <w:t>.</w:t>
      </w:r>
      <w:bookmarkEnd w:id="86"/>
    </w:p>
    <w:p>
      <w:pPr>
        <w:pStyle w:val="Bibliography"/>
        <w:rPr/>
      </w:pPr>
      <w:bookmarkStart w:id="87" w:name="ref-broom.mixed"/>
      <w:r>
        <w:rPr>
          <w:rFonts w:ascii="Liberation Serif" w:hAnsi="Liberation Serif"/>
        </w:rPr>
        <w:t xml:space="preserve">Bolker, Ben, and David Robinson. 2026. </w:t>
      </w:r>
      <w:r>
        <w:rPr>
          <w:rFonts w:ascii="Liberation Serif" w:hAnsi="Liberation Serif"/>
          <w:i/>
          <w:iCs/>
        </w:rPr>
        <w:t>Broom.mixed: Tidying Methods for Mixed Models</w:t>
      </w:r>
      <w:r>
        <w:rPr>
          <w:rFonts w:ascii="Liberation Serif" w:hAnsi="Liberation Serif"/>
        </w:rPr>
        <w:t xml:space="preserve">. </w:t>
      </w:r>
      <w:hyperlink r:id="rId52">
        <w:r>
          <w:rPr>
            <w:rStyle w:val="Hyperlink"/>
            <w:rFonts w:ascii="Liberation Serif" w:hAnsi="Liberation Serif"/>
          </w:rPr>
          <w:t>https://doi.org/10.32614/CRAN.package.broom.mixed</w:t>
        </w:r>
      </w:hyperlink>
      <w:r>
        <w:rPr>
          <w:rFonts w:ascii="Liberation Serif" w:hAnsi="Liberation Serif"/>
        </w:rPr>
        <w:t>.</w:t>
      </w:r>
      <w:bookmarkEnd w:id="87"/>
    </w:p>
    <w:p>
      <w:pPr>
        <w:pStyle w:val="Bibliography"/>
        <w:rPr/>
      </w:pPr>
      <w:bookmarkStart w:id="88" w:name="ref-brms1"/>
      <w:r>
        <w:rPr>
          <w:rFonts w:ascii="Liberation Serif" w:hAnsi="Liberation Serif"/>
        </w:rPr>
        <w:t xml:space="preserve">Bürkner, Paul-Christian. 2017. “brms: An R Package for Bayesian Multilevel Models Using Stan.” </w:t>
      </w:r>
      <w:r>
        <w:rPr>
          <w:rFonts w:ascii="Liberation Serif" w:hAnsi="Liberation Serif"/>
          <w:i/>
          <w:iCs/>
        </w:rPr>
        <w:t>Journal of Statistical Software</w:t>
      </w:r>
      <w:r>
        <w:rPr>
          <w:rFonts w:ascii="Liberation Serif" w:hAnsi="Liberation Serif"/>
        </w:rPr>
        <w:t xml:space="preserve"> 80 (1): 1–28. </w:t>
      </w:r>
      <w:hyperlink r:id="rId53">
        <w:r>
          <w:rPr>
            <w:rStyle w:val="Hyperlink"/>
            <w:rFonts w:ascii="Liberation Serif" w:hAnsi="Liberation Serif"/>
          </w:rPr>
          <w:t>https://doi.org/10.18637/jss.v080.i01</w:t>
        </w:r>
      </w:hyperlink>
      <w:r>
        <w:rPr>
          <w:rFonts w:ascii="Liberation Serif" w:hAnsi="Liberation Serif"/>
        </w:rPr>
        <w:t>.</w:t>
      </w:r>
      <w:bookmarkEnd w:id="88"/>
    </w:p>
    <w:p>
      <w:pPr>
        <w:pStyle w:val="Bibliography"/>
        <w:rPr/>
      </w:pPr>
      <w:bookmarkStart w:id="89" w:name="ref-brms2"/>
      <w:r>
        <w:rPr>
          <w:rFonts w:ascii="Liberation Serif" w:hAnsi="Liberation Serif"/>
        </w:rPr>
        <w:t xml:space="preserve">Bürkner, Paul-Christian. 2018. “Advanced Bayesian Multilevel Modeling with the R Package brms.” </w:t>
      </w:r>
      <w:r>
        <w:rPr>
          <w:rFonts w:ascii="Liberation Serif" w:hAnsi="Liberation Serif"/>
          <w:i/>
          <w:iCs/>
        </w:rPr>
        <w:t>The R Journal</w:t>
      </w:r>
      <w:r>
        <w:rPr>
          <w:rFonts w:ascii="Liberation Serif" w:hAnsi="Liberation Serif"/>
        </w:rPr>
        <w:t xml:space="preserve"> 10 (1): 395–411. </w:t>
      </w:r>
      <w:hyperlink r:id="rId54">
        <w:r>
          <w:rPr>
            <w:rStyle w:val="Hyperlink"/>
            <w:rFonts w:ascii="Liberation Serif" w:hAnsi="Liberation Serif"/>
          </w:rPr>
          <w:t>https://doi.org/10.32614/RJ-2018-017</w:t>
        </w:r>
      </w:hyperlink>
      <w:r>
        <w:rPr>
          <w:rFonts w:ascii="Liberation Serif" w:hAnsi="Liberation Serif"/>
        </w:rPr>
        <w:t>.</w:t>
      </w:r>
      <w:bookmarkEnd w:id="89"/>
    </w:p>
    <w:p>
      <w:pPr>
        <w:pStyle w:val="Bibliography"/>
        <w:rPr/>
      </w:pPr>
      <w:bookmarkStart w:id="90" w:name="ref-brms3"/>
      <w:r>
        <w:rPr>
          <w:rFonts w:ascii="Liberation Serif" w:hAnsi="Liberation Serif"/>
        </w:rPr>
        <w:t xml:space="preserve">Bürkner, Paul-Christian. 2021. “Bayesian Item Response Modeling in R with brms and Stan.” </w:t>
      </w:r>
      <w:r>
        <w:rPr>
          <w:rFonts w:ascii="Liberation Serif" w:hAnsi="Liberation Serif"/>
          <w:i/>
          <w:iCs/>
        </w:rPr>
        <w:t>Journal of Statistical Software</w:t>
      </w:r>
      <w:r>
        <w:rPr>
          <w:rFonts w:ascii="Liberation Serif" w:hAnsi="Liberation Serif"/>
        </w:rPr>
        <w:t xml:space="preserve"> 100 (5): 1–54. </w:t>
      </w:r>
      <w:hyperlink r:id="rId55">
        <w:r>
          <w:rPr>
            <w:rStyle w:val="Hyperlink"/>
            <w:rFonts w:ascii="Liberation Serif" w:hAnsi="Liberation Serif"/>
          </w:rPr>
          <w:t>https://doi.org/10.18637/jss.v100.i05</w:t>
        </w:r>
      </w:hyperlink>
      <w:r>
        <w:rPr>
          <w:rFonts w:ascii="Liberation Serif" w:hAnsi="Liberation Serif"/>
        </w:rPr>
        <w:t>.</w:t>
      </w:r>
      <w:bookmarkEnd w:id="90"/>
    </w:p>
    <w:p>
      <w:pPr>
        <w:pStyle w:val="Bibliography"/>
        <w:rPr/>
      </w:pPr>
      <w:bookmarkStart w:id="91" w:name="ref-janitor"/>
      <w:r>
        <w:rPr>
          <w:rFonts w:ascii="Liberation Serif" w:hAnsi="Liberation Serif"/>
        </w:rPr>
        <w:t xml:space="preserve">Firke, Sam. 2024. </w:t>
      </w:r>
      <w:r>
        <w:rPr>
          <w:rFonts w:ascii="Liberation Serif" w:hAnsi="Liberation Serif"/>
          <w:i/>
          <w:iCs/>
        </w:rPr>
        <w:t>Janitor: Simple Tools for Examining and Cleaning Dirty Data</w:t>
      </w:r>
      <w:r>
        <w:rPr>
          <w:rFonts w:ascii="Liberation Serif" w:hAnsi="Liberation Serif"/>
        </w:rPr>
        <w:t xml:space="preserve">. </w:t>
      </w:r>
      <w:hyperlink r:id="rId56">
        <w:r>
          <w:rPr>
            <w:rStyle w:val="Hyperlink"/>
            <w:rFonts w:ascii="Liberation Serif" w:hAnsi="Liberation Serif"/>
          </w:rPr>
          <w:t>https://doi.org/10.32614/CRAN.package.janitor</w:t>
        </w:r>
      </w:hyperlink>
      <w:r>
        <w:rPr>
          <w:rFonts w:ascii="Liberation Serif" w:hAnsi="Liberation Serif"/>
        </w:rPr>
        <w:t>.</w:t>
      </w:r>
      <w:bookmarkEnd w:id="91"/>
    </w:p>
    <w:p>
      <w:pPr>
        <w:pStyle w:val="Bibliography"/>
        <w:rPr/>
      </w:pPr>
      <w:bookmarkStart w:id="92" w:name="ref-cmdstanr"/>
      <w:r>
        <w:rPr>
          <w:rFonts w:ascii="Liberation Serif" w:hAnsi="Liberation Serif"/>
        </w:rPr>
        <w:t xml:space="preserve">Gabry, Jonah, Rok Češnovar, Andrew Johnson, and Steve Bronder. 2025. </w:t>
      </w:r>
      <w:r>
        <w:rPr>
          <w:rFonts w:ascii="Liberation Serif" w:hAnsi="Liberation Serif"/>
          <w:i/>
          <w:iCs/>
        </w:rPr>
        <w:t>Cmdstanr: R Interface to ’CmdStan’</w:t>
      </w:r>
      <w:r>
        <w:rPr>
          <w:rFonts w:ascii="Liberation Serif" w:hAnsi="Liberation Serif"/>
        </w:rPr>
        <w:t xml:space="preserve">. </w:t>
      </w:r>
      <w:hyperlink r:id="rId57">
        <w:r>
          <w:rPr>
            <w:rStyle w:val="Hyperlink"/>
            <w:rFonts w:ascii="Liberation Serif" w:hAnsi="Liberation Serif"/>
          </w:rPr>
          <w:t>https://mc-stan.org/cmdstanr/</w:t>
        </w:r>
      </w:hyperlink>
      <w:r>
        <w:rPr>
          <w:rFonts w:ascii="Liberation Serif" w:hAnsi="Liberation Serif"/>
        </w:rPr>
        <w:t>.</w:t>
      </w:r>
      <w:bookmarkEnd w:id="92"/>
    </w:p>
    <w:p>
      <w:pPr>
        <w:pStyle w:val="Bibliography"/>
        <w:rPr/>
      </w:pPr>
      <w:bookmarkStart w:id="93" w:name="ref-bayesplot1"/>
      <w:r>
        <w:rPr>
          <w:rFonts w:ascii="Liberation Serif" w:hAnsi="Liberation Serif"/>
        </w:rPr>
        <w:t xml:space="preserve">Gabry, Jonah, and Tristan Mahr. 2025. </w:t>
      </w:r>
      <w:r>
        <w:rPr>
          <w:rFonts w:ascii="Liberation Serif" w:hAnsi="Liberation Serif"/>
          <w:i/>
          <w:iCs/>
        </w:rPr>
        <w:t>Bayesplot: Plotting for Bayesian Models</w:t>
      </w:r>
      <w:r>
        <w:rPr>
          <w:rFonts w:ascii="Liberation Serif" w:hAnsi="Liberation Serif"/>
        </w:rPr>
        <w:t xml:space="preserve">. </w:t>
      </w:r>
      <w:hyperlink r:id="rId58">
        <w:r>
          <w:rPr>
            <w:rStyle w:val="Hyperlink"/>
            <w:rFonts w:ascii="Liberation Serif" w:hAnsi="Liberation Serif"/>
          </w:rPr>
          <w:t>https://mc-stan.org/bayesplot/</w:t>
        </w:r>
      </w:hyperlink>
      <w:r>
        <w:rPr>
          <w:rFonts w:ascii="Liberation Serif" w:hAnsi="Liberation Serif"/>
        </w:rPr>
        <w:t>.</w:t>
      </w:r>
      <w:bookmarkEnd w:id="93"/>
    </w:p>
    <w:p>
      <w:pPr>
        <w:pStyle w:val="Bibliography"/>
        <w:rPr/>
      </w:pPr>
      <w:bookmarkStart w:id="94" w:name="ref-bayesplot2"/>
      <w:r>
        <w:rPr>
          <w:rFonts w:ascii="Liberation Serif" w:hAnsi="Liberation Serif"/>
        </w:rPr>
        <w:t xml:space="preserve">Gabry, Jonah, Daniel Simpson, Aki Vehtari, Michael Betancourt, and Andrew Gelman. 2019. “Visualization in Bayesian Workflow.” </w:t>
      </w:r>
      <w:r>
        <w:rPr>
          <w:rFonts w:ascii="Liberation Serif" w:hAnsi="Liberation Serif"/>
          <w:i/>
          <w:iCs/>
        </w:rPr>
        <w:t>J. R. Stat. Soc. A</w:t>
      </w:r>
      <w:r>
        <w:rPr>
          <w:rFonts w:ascii="Liberation Serif" w:hAnsi="Liberation Serif"/>
        </w:rPr>
        <w:t xml:space="preserve"> 182: 389–402. </w:t>
      </w:r>
      <w:hyperlink r:id="rId59">
        <w:r>
          <w:rPr>
            <w:rStyle w:val="Hyperlink"/>
            <w:rFonts w:ascii="Liberation Serif" w:hAnsi="Liberation Serif"/>
          </w:rPr>
          <w:t>https://doi.org/10.1111/rssa.12378</w:t>
        </w:r>
      </w:hyperlink>
      <w:r>
        <w:rPr>
          <w:rFonts w:ascii="Liberation Serif" w:hAnsi="Liberation Serif"/>
        </w:rPr>
        <w:t>.</w:t>
      </w:r>
      <w:bookmarkEnd w:id="94"/>
    </w:p>
    <w:p>
      <w:pPr>
        <w:pStyle w:val="Bibliography"/>
        <w:rPr/>
      </w:pPr>
      <w:bookmarkStart w:id="95" w:name="ref-viridis"/>
      <w:r>
        <w:rPr>
          <w:rFonts w:ascii="Liberation Serif" w:hAnsi="Liberation Serif"/>
        </w:rPr>
        <w:t xml:space="preserve">Garnier, Simon, Ross, et al. 2024. </w:t>
      </w:r>
      <w:r>
        <w:rPr>
          <w:rFonts w:ascii="Liberation Serif" w:hAnsi="Liberation Serif"/>
          <w:i/>
          <w:iCs/>
        </w:rPr>
        <w:t>viridis(Lite) - Colorblind-Friendly Color Maps for r</w:t>
      </w:r>
      <w:r>
        <w:rPr>
          <w:rFonts w:ascii="Liberation Serif" w:hAnsi="Liberation Serif"/>
        </w:rPr>
        <w:t xml:space="preserve">. </w:t>
      </w:r>
      <w:hyperlink r:id="rId60">
        <w:r>
          <w:rPr>
            <w:rStyle w:val="Hyperlink"/>
            <w:rFonts w:ascii="Liberation Serif" w:hAnsi="Liberation Serif"/>
          </w:rPr>
          <w:t>https://doi.org/10.5281/zenodo.4679423</w:t>
        </w:r>
      </w:hyperlink>
      <w:r>
        <w:rPr>
          <w:rFonts w:ascii="Liberation Serif" w:hAnsi="Liberation Serif"/>
        </w:rPr>
        <w:t>.</w:t>
      </w:r>
      <w:bookmarkEnd w:id="95"/>
    </w:p>
    <w:p>
      <w:pPr>
        <w:pStyle w:val="Bibliography"/>
        <w:rPr/>
      </w:pPr>
      <w:bookmarkStart w:id="96" w:name="ref-rlang"/>
      <w:r>
        <w:rPr>
          <w:rFonts w:ascii="Liberation Serif" w:hAnsi="Liberation Serif"/>
        </w:rPr>
        <w:t xml:space="preserve">Henry, Lionel, and Hadley Wickham. 2026. </w:t>
      </w:r>
      <w:r>
        <w:rPr>
          <w:rFonts w:ascii="Liberation Serif" w:hAnsi="Liberation Serif"/>
          <w:i/>
          <w:iCs/>
        </w:rPr>
        <w:t>Rlang: Functions for Base Types and Core r and ’Tidyverse’ Features</w:t>
      </w:r>
      <w:r>
        <w:rPr>
          <w:rFonts w:ascii="Liberation Serif" w:hAnsi="Liberation Serif"/>
        </w:rPr>
        <w:t xml:space="preserve">. </w:t>
      </w:r>
      <w:hyperlink r:id="rId61">
        <w:r>
          <w:rPr>
            <w:rStyle w:val="Hyperlink"/>
            <w:rFonts w:ascii="Liberation Serif" w:hAnsi="Liberation Serif"/>
          </w:rPr>
          <w:t>https://doi.org/10.32614/CRAN.package.rlang</w:t>
        </w:r>
      </w:hyperlink>
      <w:r>
        <w:rPr>
          <w:rFonts w:ascii="Liberation Serif" w:hAnsi="Liberation Serif"/>
        </w:rPr>
        <w:t>.</w:t>
      </w:r>
      <w:bookmarkEnd w:id="96"/>
    </w:p>
    <w:p>
      <w:pPr>
        <w:pStyle w:val="Bibliography"/>
        <w:rPr/>
      </w:pPr>
      <w:bookmarkStart w:id="97" w:name="ref-glue"/>
      <w:r>
        <w:rPr>
          <w:rFonts w:ascii="Liberation Serif" w:hAnsi="Liberation Serif"/>
        </w:rPr>
        <w:t xml:space="preserve">Hester, Jim, and Jennifer Bryan. 2026. </w:t>
      </w:r>
      <w:r>
        <w:rPr>
          <w:rFonts w:ascii="Liberation Serif" w:hAnsi="Liberation Serif"/>
          <w:i/>
          <w:iCs/>
        </w:rPr>
        <w:t>Glue: Interpreted String Literals</w:t>
      </w:r>
      <w:r>
        <w:rPr>
          <w:rFonts w:ascii="Liberation Serif" w:hAnsi="Liberation Serif"/>
        </w:rPr>
        <w:t xml:space="preserve">. </w:t>
      </w:r>
      <w:hyperlink r:id="rId62">
        <w:r>
          <w:rPr>
            <w:rStyle w:val="Hyperlink"/>
            <w:rFonts w:ascii="Liberation Serif" w:hAnsi="Liberation Serif"/>
          </w:rPr>
          <w:t>https://doi.org/10.32614/CRAN.package.glue</w:t>
        </w:r>
      </w:hyperlink>
      <w:r>
        <w:rPr>
          <w:rFonts w:ascii="Liberation Serif" w:hAnsi="Liberation Serif"/>
        </w:rPr>
        <w:t>.</w:t>
      </w:r>
      <w:bookmarkEnd w:id="97"/>
    </w:p>
    <w:p>
      <w:pPr>
        <w:pStyle w:val="Bibliography"/>
        <w:rPr/>
      </w:pPr>
      <w:bookmarkStart w:id="98" w:name="ref-withr"/>
      <w:r>
        <w:rPr>
          <w:rFonts w:ascii="Liberation Serif" w:hAnsi="Liberation Serif"/>
        </w:rPr>
        <w:t xml:space="preserve">Hester, Jim, Lionel Henry, Kirill Müller, Kevin Ushey, Hadley Wickham, and Winston Chang. 2024. </w:t>
      </w:r>
      <w:r>
        <w:rPr>
          <w:rFonts w:ascii="Liberation Serif" w:hAnsi="Liberation Serif"/>
          <w:i/>
          <w:iCs/>
        </w:rPr>
        <w:t>Withr: Run Code ’with’ Temporarily Modified Global State</w:t>
      </w:r>
      <w:r>
        <w:rPr>
          <w:rFonts w:ascii="Liberation Serif" w:hAnsi="Liberation Serif"/>
        </w:rPr>
        <w:t xml:space="preserve">. </w:t>
      </w:r>
      <w:hyperlink r:id="rId63">
        <w:r>
          <w:rPr>
            <w:rStyle w:val="Hyperlink"/>
            <w:rFonts w:ascii="Liberation Serif" w:hAnsi="Liberation Serif"/>
          </w:rPr>
          <w:t>https://doi.org/10.32614/CRAN.package.withr</w:t>
        </w:r>
      </w:hyperlink>
      <w:r>
        <w:rPr>
          <w:rFonts w:ascii="Liberation Serif" w:hAnsi="Liberation Serif"/>
        </w:rPr>
        <w:t>.</w:t>
      </w:r>
      <w:bookmarkEnd w:id="98"/>
    </w:p>
    <w:p>
      <w:pPr>
        <w:pStyle w:val="Bibliography"/>
        <w:rPr/>
      </w:pPr>
      <w:bookmarkStart w:id="99" w:name="ref-gt"/>
      <w:r>
        <w:rPr>
          <w:rFonts w:ascii="Liberation Serif" w:hAnsi="Liberation Serif"/>
        </w:rPr>
        <w:t xml:space="preserve">Iannone, Richard, Joe Cheng, Barret Schloerke, et al. 2026. </w:t>
      </w:r>
      <w:r>
        <w:rPr>
          <w:rFonts w:ascii="Liberation Serif" w:hAnsi="Liberation Serif"/>
          <w:i/>
          <w:iCs/>
        </w:rPr>
        <w:t>Gt: Easily Create Presentation-Ready Display Tables</w:t>
      </w:r>
      <w:r>
        <w:rPr>
          <w:rFonts w:ascii="Liberation Serif" w:hAnsi="Liberation Serif"/>
        </w:rPr>
        <w:t xml:space="preserve">. </w:t>
      </w:r>
      <w:hyperlink r:id="rId64">
        <w:r>
          <w:rPr>
            <w:rStyle w:val="Hyperlink"/>
            <w:rFonts w:ascii="Liberation Serif" w:hAnsi="Liberation Serif"/>
          </w:rPr>
          <w:t>https://doi.org/10.32614/CRAN.package.gt</w:t>
        </w:r>
      </w:hyperlink>
      <w:r>
        <w:rPr>
          <w:rFonts w:ascii="Liberation Serif" w:hAnsi="Liberation Serif"/>
        </w:rPr>
        <w:t>.</w:t>
      </w:r>
      <w:bookmarkEnd w:id="99"/>
    </w:p>
    <w:p>
      <w:pPr>
        <w:pStyle w:val="Bibliography"/>
        <w:rPr/>
      </w:pPr>
      <w:bookmarkStart w:id="100" w:name="ref-ggdist1"/>
      <w:r>
        <w:rPr>
          <w:rFonts w:ascii="Liberation Serif" w:hAnsi="Liberation Serif"/>
        </w:rPr>
        <w:t xml:space="preserve">Kay, Matthew. 2024a. “ggdist: Visualizations of Distributions and Uncertainty in the Grammar of Graphics.” </w:t>
      </w:r>
      <w:r>
        <w:rPr>
          <w:rFonts w:ascii="Liberation Serif" w:hAnsi="Liberation Serif"/>
          <w:i/>
          <w:iCs/>
        </w:rPr>
        <w:t>IEEE Transactions on Visualization and Computer Graphics</w:t>
      </w:r>
      <w:r>
        <w:rPr>
          <w:rFonts w:ascii="Liberation Serif" w:hAnsi="Liberation Serif"/>
        </w:rPr>
        <w:t xml:space="preserve"> 30 (1): 414–24. </w:t>
      </w:r>
      <w:hyperlink r:id="rId65">
        <w:r>
          <w:rPr>
            <w:rStyle w:val="Hyperlink"/>
            <w:rFonts w:ascii="Liberation Serif" w:hAnsi="Liberation Serif"/>
          </w:rPr>
          <w:t>https://doi.org/10.1109/TVCG.2023.3327195</w:t>
        </w:r>
      </w:hyperlink>
      <w:r>
        <w:rPr>
          <w:rFonts w:ascii="Liberation Serif" w:hAnsi="Liberation Serif"/>
        </w:rPr>
        <w:t>.</w:t>
      </w:r>
      <w:bookmarkEnd w:id="100"/>
    </w:p>
    <w:p>
      <w:pPr>
        <w:pStyle w:val="Bibliography"/>
        <w:rPr/>
      </w:pPr>
      <w:bookmarkStart w:id="101" w:name="ref-tidybayes"/>
      <w:r>
        <w:rPr>
          <w:rFonts w:ascii="Liberation Serif" w:hAnsi="Liberation Serif"/>
        </w:rPr>
        <w:t xml:space="preserve">Kay, Matthew. 2024b. </w:t>
      </w:r>
      <w:r>
        <w:rPr>
          <w:rFonts w:ascii="Liberation Serif" w:hAnsi="Liberation Serif"/>
          <w:i/>
          <w:iCs/>
        </w:rPr>
        <w:t>tidybayes: Tidy Data and Geoms for Bayesian Models</w:t>
      </w:r>
      <w:r>
        <w:rPr>
          <w:rFonts w:ascii="Liberation Serif" w:hAnsi="Liberation Serif"/>
        </w:rPr>
        <w:t xml:space="preserve">. </w:t>
      </w:r>
      <w:hyperlink r:id="rId66">
        <w:r>
          <w:rPr>
            <w:rStyle w:val="Hyperlink"/>
            <w:rFonts w:ascii="Liberation Serif" w:hAnsi="Liberation Serif"/>
          </w:rPr>
          <w:t>https://doi.org/10.5281/zenodo.1308151</w:t>
        </w:r>
      </w:hyperlink>
      <w:r>
        <w:rPr>
          <w:rFonts w:ascii="Liberation Serif" w:hAnsi="Liberation Serif"/>
        </w:rPr>
        <w:t>.</w:t>
      </w:r>
      <w:bookmarkEnd w:id="101"/>
    </w:p>
    <w:p>
      <w:pPr>
        <w:pStyle w:val="Bibliography"/>
        <w:rPr/>
      </w:pPr>
      <w:bookmarkStart w:id="102" w:name="ref-ggdist2"/>
      <w:r>
        <w:rPr>
          <w:rFonts w:ascii="Liberation Serif" w:hAnsi="Liberation Serif"/>
        </w:rPr>
        <w:t xml:space="preserve">Kay, Matthew. 2025. </w:t>
      </w:r>
      <w:r>
        <w:rPr>
          <w:rFonts w:ascii="Liberation Serif" w:hAnsi="Liberation Serif"/>
          <w:i/>
          <w:iCs/>
        </w:rPr>
        <w:t>ggdist: Visualizations of Distributions and Uncertainty</w:t>
      </w:r>
      <w:r>
        <w:rPr>
          <w:rFonts w:ascii="Liberation Serif" w:hAnsi="Liberation Serif"/>
        </w:rPr>
        <w:t xml:space="preserve">. </w:t>
      </w:r>
      <w:hyperlink r:id="rId67">
        <w:r>
          <w:rPr>
            <w:rStyle w:val="Hyperlink"/>
            <w:rFonts w:ascii="Liberation Serif" w:hAnsi="Liberation Serif"/>
          </w:rPr>
          <w:t>https://doi.org/10.5281/zenodo.3879620</w:t>
        </w:r>
      </w:hyperlink>
      <w:r>
        <w:rPr>
          <w:rFonts w:ascii="Liberation Serif" w:hAnsi="Liberation Serif"/>
        </w:rPr>
        <w:t>.</w:t>
      </w:r>
      <w:bookmarkEnd w:id="102"/>
    </w:p>
    <w:p>
      <w:pPr>
        <w:pStyle w:val="Bibliography"/>
        <w:rPr>
          <w:rFonts w:ascii="Liberation Serif" w:hAnsi="Liberation Serif"/>
        </w:rPr>
      </w:pPr>
      <w:bookmarkStart w:id="103" w:name="ref-tarchetypes"/>
      <w:r>
        <w:rPr>
          <w:rFonts w:ascii="Liberation Serif" w:hAnsi="Liberation Serif"/>
        </w:rPr>
        <w:t xml:space="preserve">Landau, William Michael. 2021a. </w:t>
      </w:r>
      <w:r>
        <w:rPr>
          <w:rFonts w:ascii="Liberation Serif" w:hAnsi="Liberation Serif"/>
          <w:i/>
          <w:iCs/>
        </w:rPr>
        <w:t>Tarchetypes: Archetypes for Targets</w:t>
      </w:r>
      <w:r>
        <w:rPr>
          <w:rFonts w:ascii="Liberation Serif" w:hAnsi="Liberation Serif"/>
        </w:rPr>
        <w:t>.</w:t>
      </w:r>
      <w:bookmarkEnd w:id="103"/>
    </w:p>
    <w:p>
      <w:pPr>
        <w:pStyle w:val="Bibliography"/>
        <w:rPr/>
      </w:pPr>
      <w:bookmarkStart w:id="104" w:name="ref-targets"/>
      <w:r>
        <w:rPr>
          <w:rFonts w:ascii="Liberation Serif" w:hAnsi="Liberation Serif"/>
        </w:rPr>
        <w:t xml:space="preserve">Landau, William Michael. 2021b. “The Targets r Package: A Dynamic Make-Like Function-Oriented Pipeline Toolkit for Reproducibility and High-Performance Computing.” </w:t>
      </w:r>
      <w:r>
        <w:rPr>
          <w:rFonts w:ascii="Liberation Serif" w:hAnsi="Liberation Serif"/>
          <w:i/>
          <w:iCs/>
        </w:rPr>
        <w:t>Journal of Open Source Software</w:t>
      </w:r>
      <w:r>
        <w:rPr>
          <w:rFonts w:ascii="Liberation Serif" w:hAnsi="Liberation Serif"/>
        </w:rPr>
        <w:t xml:space="preserve"> 6 (57): 2959. </w:t>
      </w:r>
      <w:hyperlink r:id="rId68">
        <w:r>
          <w:rPr>
            <w:rStyle w:val="Hyperlink"/>
            <w:rFonts w:ascii="Liberation Serif" w:hAnsi="Liberation Serif"/>
          </w:rPr>
          <w:t>https://doi.org/10.21105/joss.02959</w:t>
        </w:r>
      </w:hyperlink>
      <w:r>
        <w:rPr>
          <w:rFonts w:ascii="Liberation Serif" w:hAnsi="Liberation Serif"/>
        </w:rPr>
        <w:t>.</w:t>
      </w:r>
      <w:bookmarkEnd w:id="104"/>
    </w:p>
    <w:p>
      <w:pPr>
        <w:pStyle w:val="Bibliography"/>
        <w:rPr/>
      </w:pPr>
      <w:bookmarkStart w:id="105" w:name="ref-MetBrewer"/>
      <w:r>
        <w:rPr>
          <w:rFonts w:ascii="Liberation Serif" w:hAnsi="Liberation Serif"/>
        </w:rPr>
        <w:t xml:space="preserve">Mills, Blake Robert. 2022. </w:t>
      </w:r>
      <w:r>
        <w:rPr>
          <w:rFonts w:ascii="Liberation Serif" w:hAnsi="Liberation Serif"/>
          <w:i/>
          <w:iCs/>
        </w:rPr>
        <w:t>MetBrewer: Color Palettes Inspired by Works at the Metropolitan Museum of Art</w:t>
      </w:r>
      <w:r>
        <w:rPr>
          <w:rFonts w:ascii="Liberation Serif" w:hAnsi="Liberation Serif"/>
        </w:rPr>
        <w:t xml:space="preserve">. </w:t>
      </w:r>
      <w:hyperlink r:id="rId69">
        <w:r>
          <w:rPr>
            <w:rStyle w:val="Hyperlink"/>
            <w:rFonts w:ascii="Liberation Serif" w:hAnsi="Liberation Serif"/>
          </w:rPr>
          <w:t>https://doi.org/10.32614/CRAN.package.MetBrewer</w:t>
        </w:r>
      </w:hyperlink>
      <w:r>
        <w:rPr>
          <w:rFonts w:ascii="Liberation Serif" w:hAnsi="Liberation Serif"/>
        </w:rPr>
        <w:t>.</w:t>
      </w:r>
      <w:bookmarkEnd w:id="105"/>
    </w:p>
    <w:p>
      <w:pPr>
        <w:pStyle w:val="Bibliography"/>
        <w:rPr/>
      </w:pPr>
      <w:bookmarkStart w:id="106" w:name="ref-here"/>
      <w:r>
        <w:rPr>
          <w:rFonts w:ascii="Liberation Serif" w:hAnsi="Liberation Serif"/>
        </w:rPr>
        <w:t xml:space="preserve">Müller, Kirill. 2025. </w:t>
      </w:r>
      <w:r>
        <w:rPr>
          <w:rFonts w:ascii="Liberation Serif" w:hAnsi="Liberation Serif"/>
          <w:i/>
          <w:iCs/>
        </w:rPr>
        <w:t>Here: A Simpler Way to Find Your Files</w:t>
      </w:r>
      <w:r>
        <w:rPr>
          <w:rFonts w:ascii="Liberation Serif" w:hAnsi="Liberation Serif"/>
        </w:rPr>
        <w:t xml:space="preserve">. </w:t>
      </w:r>
      <w:hyperlink r:id="rId70">
        <w:r>
          <w:rPr>
            <w:rStyle w:val="Hyperlink"/>
            <w:rFonts w:ascii="Liberation Serif" w:hAnsi="Liberation Serif"/>
          </w:rPr>
          <w:t>https://doi.org/10.32614/CRAN.package.here</w:t>
        </w:r>
      </w:hyperlink>
      <w:r>
        <w:rPr>
          <w:rFonts w:ascii="Liberation Serif" w:hAnsi="Liberation Serif"/>
        </w:rPr>
        <w:t>.</w:t>
      </w:r>
      <w:bookmarkEnd w:id="106"/>
    </w:p>
    <w:p>
      <w:pPr>
        <w:pStyle w:val="Bibliography"/>
        <w:rPr/>
      </w:pPr>
      <w:bookmarkStart w:id="107" w:name="ref-tibble"/>
      <w:r>
        <w:rPr>
          <w:rFonts w:ascii="Liberation Serif" w:hAnsi="Liberation Serif"/>
        </w:rPr>
        <w:t xml:space="preserve">Müller, Kirill, and Hadley Wickham. 2026. </w:t>
      </w:r>
      <w:r>
        <w:rPr>
          <w:rFonts w:ascii="Liberation Serif" w:hAnsi="Liberation Serif"/>
          <w:i/>
          <w:iCs/>
        </w:rPr>
        <w:t>Tibble: Simple Data Frames</w:t>
      </w:r>
      <w:r>
        <w:rPr>
          <w:rFonts w:ascii="Liberation Serif" w:hAnsi="Liberation Serif"/>
        </w:rPr>
        <w:t xml:space="preserve">. </w:t>
      </w:r>
      <w:hyperlink r:id="rId71">
        <w:r>
          <w:rPr>
            <w:rStyle w:val="Hyperlink"/>
            <w:rFonts w:ascii="Liberation Serif" w:hAnsi="Liberation Serif"/>
          </w:rPr>
          <w:t>https://doi.org/10.32614/CRAN.package.tibble</w:t>
        </w:r>
      </w:hyperlink>
      <w:r>
        <w:rPr>
          <w:rFonts w:ascii="Liberation Serif" w:hAnsi="Liberation Serif"/>
        </w:rPr>
        <w:t>.</w:t>
      </w:r>
      <w:bookmarkEnd w:id="107"/>
    </w:p>
    <w:p>
      <w:pPr>
        <w:pStyle w:val="Bibliography"/>
        <w:rPr/>
      </w:pPr>
      <w:bookmarkStart w:id="108" w:name="ref-patchwork"/>
      <w:r>
        <w:rPr>
          <w:rFonts w:ascii="Liberation Serif" w:hAnsi="Liberation Serif"/>
        </w:rPr>
        <w:t xml:space="preserve">Pedersen, Thomas Lin. 2025. </w:t>
      </w:r>
      <w:r>
        <w:rPr>
          <w:rFonts w:ascii="Liberation Serif" w:hAnsi="Liberation Serif"/>
          <w:i/>
          <w:iCs/>
        </w:rPr>
        <w:t>Patchwork: The Composer of Plots</w:t>
      </w:r>
      <w:r>
        <w:rPr>
          <w:rFonts w:ascii="Liberation Serif" w:hAnsi="Liberation Serif"/>
        </w:rPr>
        <w:t xml:space="preserve">. </w:t>
      </w:r>
      <w:hyperlink r:id="rId72">
        <w:r>
          <w:rPr>
            <w:rStyle w:val="Hyperlink"/>
            <w:rFonts w:ascii="Liberation Serif" w:hAnsi="Liberation Serif"/>
          </w:rPr>
          <w:t>https://doi.org/10.32614/CRAN.package.patchwork</w:t>
        </w:r>
      </w:hyperlink>
      <w:r>
        <w:rPr>
          <w:rFonts w:ascii="Liberation Serif" w:hAnsi="Liberation Serif"/>
        </w:rPr>
        <w:t>.</w:t>
      </w:r>
      <w:bookmarkEnd w:id="108"/>
    </w:p>
    <w:p>
      <w:pPr>
        <w:pStyle w:val="Bibliography"/>
        <w:rPr/>
      </w:pPr>
      <w:bookmarkStart w:id="109" w:name="ref-systemfonts"/>
      <w:r>
        <w:rPr>
          <w:rFonts w:ascii="Liberation Serif" w:hAnsi="Liberation Serif"/>
        </w:rPr>
        <w:t xml:space="preserve">Pedersen, Thomas Lin, Jeroen Ooms, and Devon Govett. 2026. </w:t>
      </w:r>
      <w:r>
        <w:rPr>
          <w:rFonts w:ascii="Liberation Serif" w:hAnsi="Liberation Serif"/>
          <w:i/>
          <w:iCs/>
        </w:rPr>
        <w:t>Systemfonts: System Native Font Finding</w:t>
      </w:r>
      <w:r>
        <w:rPr>
          <w:rFonts w:ascii="Liberation Serif" w:hAnsi="Liberation Serif"/>
        </w:rPr>
        <w:t xml:space="preserve">. </w:t>
      </w:r>
      <w:hyperlink r:id="rId73">
        <w:r>
          <w:rPr>
            <w:rStyle w:val="Hyperlink"/>
            <w:rFonts w:ascii="Liberation Serif" w:hAnsi="Liberation Serif"/>
          </w:rPr>
          <w:t>https://doi.org/10.32614/CRAN.package.systemfonts</w:t>
        </w:r>
      </w:hyperlink>
      <w:r>
        <w:rPr>
          <w:rFonts w:ascii="Liberation Serif" w:hAnsi="Liberation Serif"/>
        </w:rPr>
        <w:t>.</w:t>
      </w:r>
      <w:bookmarkEnd w:id="109"/>
    </w:p>
    <w:p>
      <w:pPr>
        <w:pStyle w:val="Bibliography"/>
        <w:rPr/>
      </w:pPr>
      <w:bookmarkStart w:id="110" w:name="ref-showtext"/>
      <w:r>
        <w:rPr>
          <w:rFonts w:ascii="Liberation Serif" w:hAnsi="Liberation Serif"/>
        </w:rPr>
        <w:t xml:space="preserve">Qiu, Yixuan. 2026. </w:t>
      </w:r>
      <w:r>
        <w:rPr>
          <w:rFonts w:ascii="Liberation Serif" w:hAnsi="Liberation Serif"/>
          <w:i/>
          <w:iCs/>
        </w:rPr>
        <w:t>Showtext: Using Fonts More Easily in r Graphs</w:t>
      </w:r>
      <w:r>
        <w:rPr>
          <w:rFonts w:ascii="Liberation Serif" w:hAnsi="Liberation Serif"/>
        </w:rPr>
        <w:t xml:space="preserve">. </w:t>
      </w:r>
      <w:hyperlink r:id="rId74">
        <w:r>
          <w:rPr>
            <w:rStyle w:val="Hyperlink"/>
            <w:rFonts w:ascii="Liberation Serif" w:hAnsi="Liberation Serif"/>
          </w:rPr>
          <w:t>https://doi.org/10.32614/CRAN.package.showtext</w:t>
        </w:r>
      </w:hyperlink>
      <w:r>
        <w:rPr>
          <w:rFonts w:ascii="Liberation Serif" w:hAnsi="Liberation Serif"/>
        </w:rPr>
        <w:t>.</w:t>
      </w:r>
      <w:bookmarkEnd w:id="110"/>
    </w:p>
    <w:p>
      <w:pPr>
        <w:pStyle w:val="Bibliography"/>
        <w:rPr/>
      </w:pPr>
      <w:bookmarkStart w:id="111" w:name="ref-base"/>
      <w:r>
        <w:rPr>
          <w:rFonts w:ascii="Liberation Serif" w:hAnsi="Liberation Serif"/>
        </w:rPr>
        <w:t xml:space="preserve">R Core Team. 2026a. </w:t>
      </w:r>
      <w:r>
        <w:rPr>
          <w:rFonts w:ascii="Liberation Serif" w:hAnsi="Liberation Serif"/>
          <w:i/>
          <w:iCs/>
        </w:rPr>
        <w:t>R: A Language and Environment for Statistical Computing</w:t>
      </w:r>
      <w:r>
        <w:rPr>
          <w:rFonts w:ascii="Liberation Serif" w:hAnsi="Liberation Serif"/>
        </w:rPr>
        <w:t xml:space="preserve">. R Foundation for Statistical Computing. </w:t>
      </w:r>
      <w:hyperlink r:id="rId75">
        <w:r>
          <w:rPr>
            <w:rStyle w:val="Hyperlink"/>
            <w:rFonts w:ascii="Liberation Serif" w:hAnsi="Liberation Serif"/>
          </w:rPr>
          <w:t>https://doi.org/10.32614/R.manuals</w:t>
        </w:r>
      </w:hyperlink>
      <w:r>
        <w:rPr>
          <w:rFonts w:ascii="Liberation Serif" w:hAnsi="Liberation Serif"/>
        </w:rPr>
        <w:t>.</w:t>
      </w:r>
      <w:bookmarkEnd w:id="111"/>
    </w:p>
    <w:p>
      <w:pPr>
        <w:pStyle w:val="Bibliography"/>
        <w:rPr/>
      </w:pPr>
      <w:bookmarkStart w:id="112" w:name="ref-grid"/>
      <w:r>
        <w:rPr>
          <w:rFonts w:ascii="Liberation Serif" w:hAnsi="Liberation Serif"/>
        </w:rPr>
        <w:t xml:space="preserve">R Core Team. 2026b. </w:t>
      </w:r>
      <w:r>
        <w:rPr>
          <w:rFonts w:ascii="Liberation Serif" w:hAnsi="Liberation Serif"/>
          <w:i/>
          <w:iCs/>
        </w:rPr>
        <w:t>R: A Language and Environment for Statistical Computing</w:t>
      </w:r>
      <w:r>
        <w:rPr>
          <w:rFonts w:ascii="Liberation Serif" w:hAnsi="Liberation Serif"/>
        </w:rPr>
        <w:t xml:space="preserve">. R Foundation for Statistical Computing. </w:t>
      </w:r>
      <w:hyperlink r:id="rId76">
        <w:r>
          <w:rPr>
            <w:rStyle w:val="Hyperlink"/>
            <w:rFonts w:ascii="Liberation Serif" w:hAnsi="Liberation Serif"/>
          </w:rPr>
          <w:t>https://doi.org/10.32614/R.manuals</w:t>
        </w:r>
      </w:hyperlink>
      <w:r>
        <w:rPr>
          <w:rFonts w:ascii="Liberation Serif" w:hAnsi="Liberation Serif"/>
        </w:rPr>
        <w:t>.</w:t>
      </w:r>
      <w:bookmarkEnd w:id="112"/>
    </w:p>
    <w:p>
      <w:pPr>
        <w:pStyle w:val="Bibliography"/>
        <w:rPr/>
      </w:pPr>
      <w:bookmarkStart w:id="113" w:name="ref-stats"/>
      <w:r>
        <w:rPr>
          <w:rFonts w:ascii="Liberation Serif" w:hAnsi="Liberation Serif"/>
        </w:rPr>
        <w:t xml:space="preserve">R Core Team. 2026c. </w:t>
      </w:r>
      <w:r>
        <w:rPr>
          <w:rFonts w:ascii="Liberation Serif" w:hAnsi="Liberation Serif"/>
          <w:i/>
          <w:iCs/>
        </w:rPr>
        <w:t>R: A Language and Environment for Statistical Computing</w:t>
      </w:r>
      <w:r>
        <w:rPr>
          <w:rFonts w:ascii="Liberation Serif" w:hAnsi="Liberation Serif"/>
        </w:rPr>
        <w:t xml:space="preserve">. R Foundation for Statistical Computing. </w:t>
      </w:r>
      <w:hyperlink r:id="rId77">
        <w:r>
          <w:rPr>
            <w:rStyle w:val="Hyperlink"/>
            <w:rFonts w:ascii="Liberation Serif" w:hAnsi="Liberation Serif"/>
          </w:rPr>
          <w:t>https://doi.org/10.32614/R.manuals</w:t>
        </w:r>
      </w:hyperlink>
      <w:r>
        <w:rPr>
          <w:rFonts w:ascii="Liberation Serif" w:hAnsi="Liberation Serif"/>
        </w:rPr>
        <w:t>.</w:t>
      </w:r>
      <w:bookmarkEnd w:id="113"/>
    </w:p>
    <w:p>
      <w:pPr>
        <w:pStyle w:val="Bibliography"/>
        <w:rPr/>
      </w:pPr>
      <w:bookmarkStart w:id="114" w:name="ref-broom"/>
      <w:r>
        <w:rPr>
          <w:rFonts w:ascii="Liberation Serif" w:hAnsi="Liberation Serif"/>
        </w:rPr>
        <w:t xml:space="preserve">Robinson, David, Alex Hayes, Simon Couch, and Emil Hvitfeldt. 2026. </w:t>
      </w:r>
      <w:r>
        <w:rPr>
          <w:rFonts w:ascii="Liberation Serif" w:hAnsi="Liberation Serif"/>
          <w:i/>
          <w:iCs/>
        </w:rPr>
        <w:t>Broom: Convert Statistical Objects into Tidy Tibbles</w:t>
      </w:r>
      <w:r>
        <w:rPr>
          <w:rFonts w:ascii="Liberation Serif" w:hAnsi="Liberation Serif"/>
        </w:rPr>
        <w:t xml:space="preserve">. </w:t>
      </w:r>
      <w:hyperlink r:id="rId78">
        <w:r>
          <w:rPr>
            <w:rStyle w:val="Hyperlink"/>
            <w:rFonts w:ascii="Liberation Serif" w:hAnsi="Liberation Serif"/>
          </w:rPr>
          <w:t>https://doi.org/10.32614/CRAN.package.broom</w:t>
        </w:r>
      </w:hyperlink>
      <w:r>
        <w:rPr>
          <w:rFonts w:ascii="Liberation Serif" w:hAnsi="Liberation Serif"/>
        </w:rPr>
        <w:t>.</w:t>
      </w:r>
      <w:bookmarkEnd w:id="114"/>
    </w:p>
    <w:p>
      <w:pPr>
        <w:pStyle w:val="Bibliography"/>
        <w:rPr/>
      </w:pPr>
      <w:bookmarkStart w:id="115" w:name="ref-smd"/>
      <w:r>
        <w:rPr>
          <w:rFonts w:ascii="Liberation Serif" w:hAnsi="Liberation Serif"/>
        </w:rPr>
        <w:t xml:space="preserve">Saul, Bradley. 2025. </w:t>
      </w:r>
      <w:r>
        <w:rPr>
          <w:rFonts w:ascii="Liberation Serif" w:hAnsi="Liberation Serif"/>
          <w:i/>
          <w:iCs/>
        </w:rPr>
        <w:t>Smd: Compute Standardized Mean Differences</w:t>
      </w:r>
      <w:r>
        <w:rPr>
          <w:rFonts w:ascii="Liberation Serif" w:hAnsi="Liberation Serif"/>
        </w:rPr>
        <w:t xml:space="preserve">. </w:t>
      </w:r>
      <w:hyperlink r:id="rId79">
        <w:r>
          <w:rPr>
            <w:rStyle w:val="Hyperlink"/>
            <w:rFonts w:ascii="Liberation Serif" w:hAnsi="Liberation Serif"/>
          </w:rPr>
          <w:t>https://doi.org/10.32614/CRAN.package.smd</w:t>
        </w:r>
      </w:hyperlink>
      <w:r>
        <w:rPr>
          <w:rFonts w:ascii="Liberation Serif" w:hAnsi="Liberation Serif"/>
        </w:rPr>
        <w:t>.</w:t>
      </w:r>
      <w:bookmarkEnd w:id="115"/>
    </w:p>
    <w:p>
      <w:pPr>
        <w:pStyle w:val="Bibliography"/>
        <w:rPr/>
      </w:pPr>
      <w:bookmarkStart w:id="116" w:name="ref-gtsummary"/>
      <w:r>
        <w:rPr>
          <w:rFonts w:ascii="Liberation Serif" w:hAnsi="Liberation Serif"/>
        </w:rPr>
        <w:t xml:space="preserve">Sjoberg, Daniel D., Karissa Whiting, Michael Curry, Jessica A. Lavery, and Joseph Larmarange. 2021. “Reproducible Summary Tables with the Gtsummary Package.” </w:t>
      </w:r>
      <w:r>
        <w:rPr>
          <w:rFonts w:ascii="Liberation Serif" w:hAnsi="Liberation Serif"/>
          <w:i/>
          <w:iCs/>
        </w:rPr>
        <w:t>The R Journal</w:t>
      </w:r>
      <w:r>
        <w:rPr>
          <w:rFonts w:ascii="Liberation Serif" w:hAnsi="Liberation Serif"/>
        </w:rPr>
        <w:t xml:space="preserve"> 13: 570–80. </w:t>
      </w:r>
      <w:hyperlink r:id="rId80">
        <w:r>
          <w:rPr>
            <w:rStyle w:val="Hyperlink"/>
            <w:rFonts w:ascii="Liberation Serif" w:hAnsi="Liberation Serif"/>
          </w:rPr>
          <w:t>https://doi.org/10.32614/RJ-2021-053</w:t>
        </w:r>
      </w:hyperlink>
      <w:r>
        <w:rPr>
          <w:rFonts w:ascii="Liberation Serif" w:hAnsi="Liberation Serif"/>
        </w:rPr>
        <w:t>.</w:t>
      </w:r>
      <w:bookmarkEnd w:id="116"/>
    </w:p>
    <w:p>
      <w:pPr>
        <w:pStyle w:val="Bibliography"/>
        <w:rPr/>
      </w:pPr>
      <w:bookmarkStart w:id="117" w:name="ref-dagitty"/>
      <w:r>
        <w:rPr>
          <w:rFonts w:ascii="Liberation Serif" w:hAnsi="Liberation Serif"/>
        </w:rPr>
        <w:t xml:space="preserve">Textor, Johannes, Benito van der Zander, Mark S Gilthorpe, Maciej Liśkiewicz, and George TH Ellison. 2016. “Robust Causal Inference Using Directed Acyclic Graphs: The r Package ’Dagitty’.” </w:t>
      </w:r>
      <w:r>
        <w:rPr>
          <w:rFonts w:ascii="Liberation Serif" w:hAnsi="Liberation Serif"/>
          <w:i/>
          <w:iCs/>
        </w:rPr>
        <w:t>International Journal of Epidemiology</w:t>
      </w:r>
      <w:r>
        <w:rPr>
          <w:rFonts w:ascii="Liberation Serif" w:hAnsi="Liberation Serif"/>
        </w:rPr>
        <w:t xml:space="preserve"> 45 (6): 1887–94. </w:t>
      </w:r>
      <w:hyperlink r:id="rId81">
        <w:r>
          <w:rPr>
            <w:rStyle w:val="Hyperlink"/>
            <w:rFonts w:ascii="Liberation Serif" w:hAnsi="Liberation Serif"/>
          </w:rPr>
          <w:t>https://doi.org/10.1093/ije/dyw341</w:t>
        </w:r>
      </w:hyperlink>
      <w:r>
        <w:rPr>
          <w:rFonts w:ascii="Liberation Serif" w:hAnsi="Liberation Serif"/>
        </w:rPr>
        <w:t>.</w:t>
      </w:r>
      <w:bookmarkEnd w:id="117"/>
    </w:p>
    <w:p>
      <w:pPr>
        <w:pStyle w:val="Bibliography"/>
        <w:rPr/>
      </w:pPr>
      <w:bookmarkStart w:id="118" w:name="ref-monochromeR"/>
      <w:r>
        <w:rPr>
          <w:rFonts w:ascii="Liberation Serif" w:hAnsi="Liberation Serif"/>
        </w:rPr>
        <w:t xml:space="preserve">Thompson, Cara. 2023. </w:t>
      </w:r>
      <w:r>
        <w:rPr>
          <w:rFonts w:ascii="Liberation Serif" w:hAnsi="Liberation Serif"/>
          <w:i/>
          <w:iCs/>
        </w:rPr>
        <w:t>monochromeR: Easily Create, View and Use Monochrome Colour Palettes</w:t>
      </w:r>
      <w:r>
        <w:rPr>
          <w:rFonts w:ascii="Liberation Serif" w:hAnsi="Liberation Serif"/>
        </w:rPr>
        <w:t xml:space="preserve">. </w:t>
      </w:r>
      <w:hyperlink r:id="rId82">
        <w:r>
          <w:rPr>
            <w:rStyle w:val="Hyperlink"/>
            <w:rFonts w:ascii="Liberation Serif" w:hAnsi="Liberation Serif"/>
          </w:rPr>
          <w:t>https://doi.org/10.32614/CRAN.package.monochromeR</w:t>
        </w:r>
      </w:hyperlink>
      <w:r>
        <w:rPr>
          <w:rFonts w:ascii="Liberation Serif" w:hAnsi="Liberation Serif"/>
        </w:rPr>
        <w:t>.</w:t>
      </w:r>
      <w:bookmarkEnd w:id="118"/>
    </w:p>
    <w:p>
      <w:pPr>
        <w:pStyle w:val="Bibliography"/>
        <w:rPr/>
      </w:pPr>
      <w:bookmarkStart w:id="119" w:name="ref-gghalves"/>
      <w:r>
        <w:rPr>
          <w:rFonts w:ascii="Liberation Serif" w:hAnsi="Liberation Serif"/>
        </w:rPr>
        <w:t xml:space="preserve">Tiedemann, Frederik. 2026. </w:t>
      </w:r>
      <w:r>
        <w:rPr>
          <w:rFonts w:ascii="Liberation Serif" w:hAnsi="Liberation Serif"/>
          <w:i/>
          <w:iCs/>
        </w:rPr>
        <w:t>Gghalves: Compose Half-Half Plots Using Your Favourite Geoms</w:t>
      </w:r>
      <w:r>
        <w:rPr>
          <w:rFonts w:ascii="Liberation Serif" w:hAnsi="Liberation Serif"/>
        </w:rPr>
        <w:t xml:space="preserve">. </w:t>
      </w:r>
      <w:hyperlink r:id="rId83">
        <w:r>
          <w:rPr>
            <w:rStyle w:val="Hyperlink"/>
            <w:rFonts w:ascii="Liberation Serif" w:hAnsi="Liberation Serif"/>
          </w:rPr>
          <w:t>https://github.com/erocoar/gghalves</w:t>
        </w:r>
      </w:hyperlink>
      <w:r>
        <w:rPr>
          <w:rFonts w:ascii="Liberation Serif" w:hAnsi="Liberation Serif"/>
        </w:rPr>
        <w:t>.</w:t>
      </w:r>
      <w:bookmarkEnd w:id="119"/>
    </w:p>
    <w:p>
      <w:pPr>
        <w:pStyle w:val="Bibliography"/>
        <w:rPr/>
      </w:pPr>
      <w:bookmarkStart w:id="120" w:name="ref-naniar"/>
      <w:r>
        <w:rPr>
          <w:rFonts w:ascii="Liberation Serif" w:hAnsi="Liberation Serif"/>
        </w:rPr>
        <w:t xml:space="preserve">Tierney, Nicholas, and Dianne Cook. 2023. “Expanding Tidy Data Principles to Facilitate Missing Data Exploration, Visualization and Assessment of Imputations.” </w:t>
      </w:r>
      <w:r>
        <w:rPr>
          <w:rFonts w:ascii="Liberation Serif" w:hAnsi="Liberation Serif"/>
          <w:i/>
          <w:iCs/>
        </w:rPr>
        <w:t>Journal of Statistical Software</w:t>
      </w:r>
      <w:r>
        <w:rPr>
          <w:rFonts w:ascii="Liberation Serif" w:hAnsi="Liberation Serif"/>
        </w:rPr>
        <w:t xml:space="preserve"> 105 (7): 1–31. </w:t>
      </w:r>
      <w:hyperlink r:id="rId84">
        <w:r>
          <w:rPr>
            <w:rStyle w:val="Hyperlink"/>
            <w:rFonts w:ascii="Liberation Serif" w:hAnsi="Liberation Serif"/>
          </w:rPr>
          <w:t>https://doi.org/10.18637/jss.v105.i07</w:t>
        </w:r>
      </w:hyperlink>
      <w:r>
        <w:rPr>
          <w:rFonts w:ascii="Liberation Serif" w:hAnsi="Liberation Serif"/>
        </w:rPr>
        <w:t>.</w:t>
      </w:r>
      <w:bookmarkEnd w:id="120"/>
    </w:p>
    <w:p>
      <w:pPr>
        <w:pStyle w:val="Bibliography"/>
        <w:rPr/>
      </w:pPr>
      <w:bookmarkStart w:id="121" w:name="ref-renv"/>
      <w:r>
        <w:rPr>
          <w:rFonts w:ascii="Liberation Serif" w:hAnsi="Liberation Serif"/>
        </w:rPr>
        <w:t xml:space="preserve">Ushey, Kevin, and Hadley Wickham. 2026. </w:t>
      </w:r>
      <w:r>
        <w:rPr>
          <w:rFonts w:ascii="Liberation Serif" w:hAnsi="Liberation Serif"/>
          <w:i/>
          <w:iCs/>
        </w:rPr>
        <w:t>Renv: Project Environments</w:t>
      </w:r>
      <w:r>
        <w:rPr>
          <w:rFonts w:ascii="Liberation Serif" w:hAnsi="Liberation Serif"/>
        </w:rPr>
        <w:t xml:space="preserve">. </w:t>
      </w:r>
      <w:hyperlink r:id="rId85">
        <w:r>
          <w:rPr>
            <w:rStyle w:val="Hyperlink"/>
            <w:rFonts w:ascii="Liberation Serif" w:hAnsi="Liberation Serif"/>
          </w:rPr>
          <w:t>https://doi.org/10.32614/CRAN.package.renv</w:t>
        </w:r>
      </w:hyperlink>
      <w:r>
        <w:rPr>
          <w:rFonts w:ascii="Liberation Serif" w:hAnsi="Liberation Serif"/>
        </w:rPr>
        <w:t>.</w:t>
      </w:r>
      <w:bookmarkEnd w:id="121"/>
    </w:p>
    <w:p>
      <w:pPr>
        <w:pStyle w:val="Bibliography"/>
        <w:rPr/>
      </w:pPr>
      <w:bookmarkStart w:id="122" w:name="ref-mice"/>
      <w:r>
        <w:rPr>
          <w:rFonts w:ascii="Liberation Serif" w:hAnsi="Liberation Serif"/>
        </w:rPr>
        <w:t xml:space="preserve">van Buuren, Stef, and Karin Groothuis-Oudshoorn. 2011. “mice: Multivariate Imputation by Chained Equations in r.” </w:t>
      </w:r>
      <w:r>
        <w:rPr>
          <w:rFonts w:ascii="Liberation Serif" w:hAnsi="Liberation Serif"/>
          <w:i/>
          <w:iCs/>
        </w:rPr>
        <w:t>Journal of Statistical Software</w:t>
      </w:r>
      <w:r>
        <w:rPr>
          <w:rFonts w:ascii="Liberation Serif" w:hAnsi="Liberation Serif"/>
        </w:rPr>
        <w:t xml:space="preserve"> 45 (3): 1–67. </w:t>
      </w:r>
      <w:hyperlink r:id="rId86">
        <w:r>
          <w:rPr>
            <w:rStyle w:val="Hyperlink"/>
            <w:rFonts w:ascii="Liberation Serif" w:hAnsi="Liberation Serif"/>
          </w:rPr>
          <w:t>https://doi.org/10.18637/jss.v045.i03</w:t>
        </w:r>
      </w:hyperlink>
      <w:r>
        <w:rPr>
          <w:rFonts w:ascii="Liberation Serif" w:hAnsi="Liberation Serif"/>
        </w:rPr>
        <w:t>.</w:t>
      </w:r>
      <w:bookmarkEnd w:id="122"/>
    </w:p>
    <w:p>
      <w:pPr>
        <w:pStyle w:val="Bibliography"/>
        <w:rPr/>
      </w:pPr>
      <w:bookmarkStart w:id="123" w:name="ref-skimr"/>
      <w:r>
        <w:rPr>
          <w:rFonts w:ascii="Liberation Serif" w:hAnsi="Liberation Serif"/>
        </w:rPr>
        <w:t xml:space="preserve">Waring, Elin, Michael Quinn, Amelia McNamara, Eduardo Arino de la Rubia, Hao Zhu, and Shannon Ellis. 2026. </w:t>
      </w:r>
      <w:r>
        <w:rPr>
          <w:rFonts w:ascii="Liberation Serif" w:hAnsi="Liberation Serif"/>
          <w:i/>
          <w:iCs/>
        </w:rPr>
        <w:t>Skimr: Compact and Flexible Summaries of Data</w:t>
      </w:r>
      <w:r>
        <w:rPr>
          <w:rFonts w:ascii="Liberation Serif" w:hAnsi="Liberation Serif"/>
        </w:rPr>
        <w:t xml:space="preserve">. </w:t>
      </w:r>
      <w:hyperlink r:id="rId87">
        <w:r>
          <w:rPr>
            <w:rStyle w:val="Hyperlink"/>
            <w:rFonts w:ascii="Liberation Serif" w:hAnsi="Liberation Serif"/>
          </w:rPr>
          <w:t>https://doi.org/10.32614/CRAN.package.skimr</w:t>
        </w:r>
      </w:hyperlink>
      <w:r>
        <w:rPr>
          <w:rFonts w:ascii="Liberation Serif" w:hAnsi="Liberation Serif"/>
        </w:rPr>
        <w:t>.</w:t>
      </w:r>
      <w:bookmarkEnd w:id="123"/>
    </w:p>
    <w:p>
      <w:pPr>
        <w:pStyle w:val="Bibliography"/>
        <w:rPr/>
      </w:pPr>
      <w:bookmarkStart w:id="124" w:name="ref-ggplot2"/>
      <w:r>
        <w:rPr>
          <w:rFonts w:ascii="Liberation Serif" w:hAnsi="Liberation Serif"/>
        </w:rPr>
        <w:t xml:space="preserve">Wickham, Hadley. 2016. </w:t>
      </w:r>
      <w:r>
        <w:rPr>
          <w:rFonts w:ascii="Liberation Serif" w:hAnsi="Liberation Serif"/>
          <w:i/>
          <w:iCs/>
        </w:rPr>
        <w:t>Ggplot2: Elegant Graphics for Data Analysis</w:t>
      </w:r>
      <w:r>
        <w:rPr>
          <w:rFonts w:ascii="Liberation Serif" w:hAnsi="Liberation Serif"/>
        </w:rPr>
        <w:t xml:space="preserve">. Springer-Verlag New York. </w:t>
      </w:r>
      <w:hyperlink r:id="rId88">
        <w:r>
          <w:rPr>
            <w:rStyle w:val="Hyperlink"/>
            <w:rFonts w:ascii="Liberation Serif" w:hAnsi="Liberation Serif"/>
          </w:rPr>
          <w:t>https://ggplot2.tidyverse.org</w:t>
        </w:r>
      </w:hyperlink>
      <w:r>
        <w:rPr>
          <w:rFonts w:ascii="Liberation Serif" w:hAnsi="Liberation Serif"/>
        </w:rPr>
        <w:t>.</w:t>
      </w:r>
      <w:bookmarkEnd w:id="124"/>
    </w:p>
    <w:p>
      <w:pPr>
        <w:pStyle w:val="Bibliography"/>
        <w:rPr/>
      </w:pPr>
      <w:bookmarkStart w:id="125" w:name="ref-stringr"/>
      <w:r>
        <w:rPr>
          <w:rFonts w:ascii="Liberation Serif" w:hAnsi="Liberation Serif"/>
        </w:rPr>
        <w:t xml:space="preserve">Wickham, Hadley. 2025. </w:t>
      </w:r>
      <w:r>
        <w:rPr>
          <w:rFonts w:ascii="Liberation Serif" w:hAnsi="Liberation Serif"/>
          <w:i/>
          <w:iCs/>
        </w:rPr>
        <w:t>Stringr: Simple, Consistent Wrappers for Common String Operations</w:t>
      </w:r>
      <w:r>
        <w:rPr>
          <w:rFonts w:ascii="Liberation Serif" w:hAnsi="Liberation Serif"/>
        </w:rPr>
        <w:t xml:space="preserve">. </w:t>
      </w:r>
      <w:hyperlink r:id="rId89">
        <w:r>
          <w:rPr>
            <w:rStyle w:val="Hyperlink"/>
            <w:rFonts w:ascii="Liberation Serif" w:hAnsi="Liberation Serif"/>
          </w:rPr>
          <w:t>https://doi.org/10.32614/CRAN.package.stringr</w:t>
        </w:r>
      </w:hyperlink>
      <w:r>
        <w:rPr>
          <w:rFonts w:ascii="Liberation Serif" w:hAnsi="Liberation Serif"/>
        </w:rPr>
        <w:t>.</w:t>
      </w:r>
      <w:bookmarkEnd w:id="125"/>
    </w:p>
    <w:p>
      <w:pPr>
        <w:pStyle w:val="Bibliography"/>
        <w:rPr/>
      </w:pPr>
      <w:bookmarkStart w:id="126" w:name="ref-tidyverse"/>
      <w:r>
        <w:rPr>
          <w:rFonts w:ascii="Liberation Serif" w:hAnsi="Liberation Serif"/>
        </w:rPr>
        <w:t xml:space="preserve">Wickham, Hadley, Mara Averick, Jennifer Bryan, et al. 2019. “Welcome to the tidyverse.” </w:t>
      </w:r>
      <w:r>
        <w:rPr>
          <w:rFonts w:ascii="Liberation Serif" w:hAnsi="Liberation Serif"/>
          <w:i/>
          <w:iCs/>
        </w:rPr>
        <w:t>Journal of Open Source Software</w:t>
      </w:r>
      <w:r>
        <w:rPr>
          <w:rFonts w:ascii="Liberation Serif" w:hAnsi="Liberation Serif"/>
        </w:rPr>
        <w:t xml:space="preserve"> 4 (43): 1686. </w:t>
      </w:r>
      <w:hyperlink r:id="rId90">
        <w:r>
          <w:rPr>
            <w:rStyle w:val="Hyperlink"/>
            <w:rFonts w:ascii="Liberation Serif" w:hAnsi="Liberation Serif"/>
          </w:rPr>
          <w:t>https://doi.org/10.21105/joss.01686</w:t>
        </w:r>
      </w:hyperlink>
      <w:r>
        <w:rPr>
          <w:rFonts w:ascii="Liberation Serif" w:hAnsi="Liberation Serif"/>
        </w:rPr>
        <w:t>.</w:t>
      </w:r>
      <w:bookmarkEnd w:id="126"/>
    </w:p>
    <w:p>
      <w:pPr>
        <w:pStyle w:val="Bibliography"/>
        <w:rPr/>
      </w:pPr>
      <w:bookmarkStart w:id="127" w:name="ref-dplyr"/>
      <w:r>
        <w:rPr>
          <w:rFonts w:ascii="Liberation Serif" w:hAnsi="Liberation Serif"/>
        </w:rPr>
        <w:t xml:space="preserve">Wickham, Hadley, Romain François, Lionel Henry, Kirill Müller, and Davis Vaughan. 2026. </w:t>
      </w:r>
      <w:r>
        <w:rPr>
          <w:rFonts w:ascii="Liberation Serif" w:hAnsi="Liberation Serif"/>
          <w:i/>
          <w:iCs/>
        </w:rPr>
        <w:t>Dplyr: A Grammar of Data Manipulation</w:t>
      </w:r>
      <w:r>
        <w:rPr>
          <w:rFonts w:ascii="Liberation Serif" w:hAnsi="Liberation Serif"/>
        </w:rPr>
        <w:t xml:space="preserve">. </w:t>
      </w:r>
      <w:hyperlink r:id="rId91">
        <w:r>
          <w:rPr>
            <w:rStyle w:val="Hyperlink"/>
            <w:rFonts w:ascii="Liberation Serif" w:hAnsi="Liberation Serif"/>
          </w:rPr>
          <w:t>https://doi.org/10.32614/CRAN.package.dplyr</w:t>
        </w:r>
      </w:hyperlink>
      <w:r>
        <w:rPr>
          <w:rFonts w:ascii="Liberation Serif" w:hAnsi="Liberation Serif"/>
        </w:rPr>
        <w:t>.</w:t>
      </w:r>
      <w:bookmarkEnd w:id="127"/>
    </w:p>
    <w:p>
      <w:pPr>
        <w:pStyle w:val="Bibliography"/>
        <w:rPr/>
      </w:pPr>
      <w:bookmarkStart w:id="128" w:name="ref-purrr"/>
      <w:r>
        <w:rPr>
          <w:rFonts w:ascii="Liberation Serif" w:hAnsi="Liberation Serif"/>
        </w:rPr>
        <w:t xml:space="preserve">Wickham, Hadley, and Lionel Henry. 2026. </w:t>
      </w:r>
      <w:r>
        <w:rPr>
          <w:rFonts w:ascii="Liberation Serif" w:hAnsi="Liberation Serif"/>
          <w:i/>
          <w:iCs/>
        </w:rPr>
        <w:t>Purrr: Functional Programming Tools</w:t>
      </w:r>
      <w:r>
        <w:rPr>
          <w:rFonts w:ascii="Liberation Serif" w:hAnsi="Liberation Serif"/>
        </w:rPr>
        <w:t xml:space="preserve">. </w:t>
      </w:r>
      <w:hyperlink r:id="rId92">
        <w:r>
          <w:rPr>
            <w:rStyle w:val="Hyperlink"/>
            <w:rFonts w:ascii="Liberation Serif" w:hAnsi="Liberation Serif"/>
          </w:rPr>
          <w:t>https://doi.org/10.32614/CRAN.package.purrr</w:t>
        </w:r>
      </w:hyperlink>
      <w:r>
        <w:rPr>
          <w:rFonts w:ascii="Liberation Serif" w:hAnsi="Liberation Serif"/>
        </w:rPr>
        <w:t>.</w:t>
      </w:r>
      <w:bookmarkEnd w:id="128"/>
    </w:p>
    <w:p>
      <w:pPr>
        <w:pStyle w:val="Bibliography"/>
        <w:rPr/>
      </w:pPr>
      <w:bookmarkStart w:id="129" w:name="ref-scales"/>
      <w:r>
        <w:rPr>
          <w:rFonts w:ascii="Liberation Serif" w:hAnsi="Liberation Serif"/>
        </w:rPr>
        <w:t xml:space="preserve">Wickham, Hadley, Thomas Lin Pedersen, and Dana Seidel. 2025. </w:t>
      </w:r>
      <w:r>
        <w:rPr>
          <w:rFonts w:ascii="Liberation Serif" w:hAnsi="Liberation Serif"/>
          <w:i/>
          <w:iCs/>
        </w:rPr>
        <w:t>Scales: Scale Functions for Visualization</w:t>
      </w:r>
      <w:r>
        <w:rPr>
          <w:rFonts w:ascii="Liberation Serif" w:hAnsi="Liberation Serif"/>
        </w:rPr>
        <w:t xml:space="preserve">. </w:t>
      </w:r>
      <w:hyperlink r:id="rId93">
        <w:r>
          <w:rPr>
            <w:rStyle w:val="Hyperlink"/>
            <w:rFonts w:ascii="Liberation Serif" w:hAnsi="Liberation Serif"/>
          </w:rPr>
          <w:t>https://doi.org/10.32614/CRAN.package.scales</w:t>
        </w:r>
      </w:hyperlink>
      <w:r>
        <w:rPr>
          <w:rFonts w:ascii="Liberation Serif" w:hAnsi="Liberation Serif"/>
        </w:rPr>
        <w:t>.</w:t>
      </w:r>
      <w:bookmarkEnd w:id="129"/>
    </w:p>
    <w:p>
      <w:pPr>
        <w:pStyle w:val="Bibliography"/>
        <w:rPr/>
      </w:pPr>
      <w:bookmarkStart w:id="130" w:name="ref-tidyr"/>
      <w:r>
        <w:rPr>
          <w:rFonts w:ascii="Liberation Serif" w:hAnsi="Liberation Serif"/>
        </w:rPr>
        <w:t xml:space="preserve">Wickham, Hadley, Davis Vaughan, and Maximilian Girlich. 2025. </w:t>
      </w:r>
      <w:r>
        <w:rPr>
          <w:rFonts w:ascii="Liberation Serif" w:hAnsi="Liberation Serif"/>
          <w:i/>
          <w:iCs/>
        </w:rPr>
        <w:t>Tidyr: Tidy Messy Data</w:t>
      </w:r>
      <w:r>
        <w:rPr>
          <w:rFonts w:ascii="Liberation Serif" w:hAnsi="Liberation Serif"/>
        </w:rPr>
        <w:t xml:space="preserve">. </w:t>
      </w:r>
      <w:hyperlink r:id="rId94">
        <w:r>
          <w:rPr>
            <w:rStyle w:val="Hyperlink"/>
            <w:rFonts w:ascii="Liberation Serif" w:hAnsi="Liberation Serif"/>
          </w:rPr>
          <w:t>https://doi.org/10.32614/CRAN.package.tidyr</w:t>
        </w:r>
      </w:hyperlink>
      <w:r>
        <w:rPr>
          <w:rFonts w:ascii="Liberation Serif" w:hAnsi="Liberation Serif"/>
        </w:rPr>
        <w:t>.</w:t>
      </w:r>
      <w:bookmarkEnd w:id="130"/>
    </w:p>
    <w:p>
      <w:pPr>
        <w:pStyle w:val="Bibliography"/>
        <w:rPr/>
      </w:pPr>
      <w:bookmarkStart w:id="131" w:name="ref-ggridges"/>
      <w:r>
        <w:rPr>
          <w:rFonts w:ascii="Liberation Serif" w:hAnsi="Liberation Serif"/>
        </w:rPr>
        <w:t xml:space="preserve">Wilke, Claus O. 2025. </w:t>
      </w:r>
      <w:r>
        <w:rPr>
          <w:rFonts w:ascii="Liberation Serif" w:hAnsi="Liberation Serif"/>
          <w:i/>
          <w:iCs/>
        </w:rPr>
        <w:t>Ggridges: Ridgeline Plots in ’Ggplot2’</w:t>
      </w:r>
      <w:r>
        <w:rPr>
          <w:rFonts w:ascii="Liberation Serif" w:hAnsi="Liberation Serif"/>
        </w:rPr>
        <w:t xml:space="preserve">. </w:t>
      </w:r>
      <w:hyperlink r:id="rId95">
        <w:r>
          <w:rPr>
            <w:rStyle w:val="Hyperlink"/>
            <w:rFonts w:ascii="Liberation Serif" w:hAnsi="Liberation Serif"/>
          </w:rPr>
          <w:t>https://doi.org/10.32614/CRAN.package.ggridges</w:t>
        </w:r>
      </w:hyperlink>
      <w:r>
        <w:rPr>
          <w:rFonts w:ascii="Liberation Serif" w:hAnsi="Liberation Serif"/>
        </w:rPr>
        <w:t>.</w:t>
      </w:r>
      <w:bookmarkEnd w:id="131"/>
    </w:p>
    <w:p>
      <w:pPr>
        <w:pStyle w:val="Bibliography"/>
        <w:rPr/>
      </w:pPr>
      <w:bookmarkStart w:id="132" w:name="ref-ggtext"/>
      <w:r>
        <w:rPr>
          <w:rFonts w:ascii="Liberation Serif" w:hAnsi="Liberation Serif"/>
        </w:rPr>
        <w:t xml:space="preserve">Wilke, Claus O., and Brenton M. Wiernik. 2022. </w:t>
      </w:r>
      <w:r>
        <w:rPr>
          <w:rFonts w:ascii="Liberation Serif" w:hAnsi="Liberation Serif"/>
          <w:i/>
          <w:iCs/>
        </w:rPr>
        <w:t>Ggtext: Improved Text Rendering Support for ’Ggplot2’</w:t>
      </w:r>
      <w:r>
        <w:rPr>
          <w:rFonts w:ascii="Liberation Serif" w:hAnsi="Liberation Serif"/>
        </w:rPr>
        <w:t xml:space="preserve">. </w:t>
      </w:r>
      <w:hyperlink r:id="rId96">
        <w:r>
          <w:rPr>
            <w:rStyle w:val="Hyperlink"/>
            <w:rFonts w:ascii="Liberation Serif" w:hAnsi="Liberation Serif"/>
          </w:rPr>
          <w:t>https://doi.org/10.32614/CRAN.package.ggtext</w:t>
        </w:r>
      </w:hyperlink>
      <w:r>
        <w:rPr>
          <w:rFonts w:ascii="Liberation Serif" w:hAnsi="Liberation Serif"/>
        </w:rPr>
        <w:t>.</w:t>
      </w:r>
      <w:bookmarkEnd w:id="132"/>
    </w:p>
    <w:p>
      <w:pPr>
        <w:pStyle w:val="Bibliography"/>
        <w:rPr/>
      </w:pPr>
      <w:bookmarkStart w:id="133" w:name="ref-rmarkdown2"/>
      <w:r>
        <w:rPr>
          <w:rFonts w:ascii="Liberation Serif" w:hAnsi="Liberation Serif"/>
        </w:rPr>
        <w:t xml:space="preserve">Xie, Yihui, J. J. Allaire, and Garrett Grolemund. 2018. </w:t>
      </w:r>
      <w:r>
        <w:rPr>
          <w:rFonts w:ascii="Liberation Serif" w:hAnsi="Liberation Serif"/>
          <w:i/>
          <w:iCs/>
        </w:rPr>
        <w:t>R Markdown: The Definitive Guide</w:t>
      </w:r>
      <w:r>
        <w:rPr>
          <w:rFonts w:ascii="Liberation Serif" w:hAnsi="Liberation Serif"/>
        </w:rPr>
        <w:t xml:space="preserve">. Chapman; Hall/CRC. </w:t>
      </w:r>
      <w:hyperlink r:id="rId97">
        <w:r>
          <w:rPr>
            <w:rStyle w:val="Hyperlink"/>
            <w:rFonts w:ascii="Liberation Serif" w:hAnsi="Liberation Serif"/>
          </w:rPr>
          <w:t>https://yihui.org/rmarkdown/</w:t>
        </w:r>
      </w:hyperlink>
      <w:r>
        <w:rPr>
          <w:rFonts w:ascii="Liberation Serif" w:hAnsi="Liberation Serif"/>
        </w:rPr>
        <w:t>.</w:t>
      </w:r>
      <w:bookmarkEnd w:id="133"/>
    </w:p>
    <w:p>
      <w:pPr>
        <w:pStyle w:val="Bibliography"/>
        <w:spacing w:before="0" w:after="590"/>
        <w:rPr/>
      </w:pPr>
      <w:bookmarkStart w:id="134" w:name="ref-rmarkdown3"/>
      <w:r>
        <w:rPr>
          <w:rStyle w:val="Hyperlink"/>
          <w:rFonts w:ascii="Liberation Serif" w:hAnsi="Liberation Serif"/>
        </w:rPr>
        <w:t xml:space="preserve">Xie, Yihui, Christophe Dervieux, and Emily Riederer. 2020. </w:t>
      </w:r>
      <w:r>
        <w:rPr>
          <w:rStyle w:val="Hyperlink"/>
          <w:rFonts w:ascii="Liberation Serif" w:hAnsi="Liberation Serif"/>
          <w:i/>
          <w:iCs/>
        </w:rPr>
        <w:t>R Markdown Cookbook</w:t>
      </w:r>
      <w:r>
        <w:rPr>
          <w:rStyle w:val="Hyperlink"/>
          <w:rFonts w:ascii="Liberation Serif" w:hAnsi="Liberation Serif"/>
        </w:rPr>
        <w:t xml:space="preserve">. Chapman; Hall/CRC. </w:t>
      </w:r>
      <w:hyperlink r:id="rId98">
        <w:r>
          <w:rPr>
            <w:rStyle w:val="Hyperlink"/>
            <w:rFonts w:ascii="Liberation Serif" w:hAnsi="Liberation Serif"/>
          </w:rPr>
          <w:t>https://yihui.org/rmarkdown-cookbook</w:t>
        </w:r>
      </w:hyperlink>
      <w:r>
        <w:rPr>
          <w:rStyle w:val="Hyperlink"/>
          <w:rFonts w:ascii="Liberation Serif" w:hAnsi="Liberation Serif"/>
        </w:rPr>
        <w:t>.</w:t>
      </w:r>
      <w:bookmarkEnd w:id="78"/>
      <w:bookmarkEnd w:id="79"/>
      <w:bookmarkEnd w:id="134"/>
    </w:p>
    <w:sectPr>
      <w:footerReference w:type="even" r:id="rId99"/>
      <w:footerReference w:type="default" r:id="rId100"/>
      <w:type w:val="nextPage"/>
      <w:pgSz w:w="12240" w:h="15840"/>
      <w:pgMar w:left="1440" w:right="1440" w:gutter="0" w:header="0" w:top="1440" w:footer="1440" w:bottom="1999"/>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swiss"/>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pPr>
    <w:bookmarkStart w:id="135" w:name="PageNumWizard_FOOTER_Default_Page_Style9"/>
    <w:r>
      <w:rPr/>
      <w:fldChar w:fldCharType="begin"/>
    </w:r>
    <w:r>
      <w:rPr/>
      <w:instrText xml:space="preserve"> PAGE </w:instrText>
    </w:r>
    <w:r>
      <w:rPr/>
      <w:fldChar w:fldCharType="separate"/>
    </w:r>
    <w:r>
      <w:rPr/>
      <w:t>98</w:t>
    </w:r>
    <w:r>
      <w:rPr/>
      <w:fldChar w:fldCharType="end"/>
    </w:r>
    <w:bookmarkEnd w:id="135"/>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bookmarkStart w:id="136" w:name="PageNumWizard_FOOTER_Default_Page_Style1"/>
    <w:r>
      <w:rPr/>
      <w:fldChar w:fldCharType="begin"/>
    </w:r>
    <w:r>
      <w:rPr/>
      <w:instrText xml:space="preserve"> PAGE </w:instrText>
    </w:r>
    <w:r>
      <w:rPr/>
      <w:fldChar w:fldCharType="separate"/>
    </w:r>
    <w:r>
      <w:rPr/>
      <w:t>99</w:t>
    </w:r>
    <w:r>
      <w:rPr/>
      <w:fldChar w:fldCharType="end"/>
    </w:r>
    <w:bookmarkEnd w:id="136"/>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embedSystemFonts/>
  <w:mirrorMargins/>
  <w:defaultTabStop w:val="720"/>
  <w:autoHyphenation w:val="true"/>
  <w:hyphenationZone w:val="0"/>
  <w:evenAndOddHeaders/>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23217492"/>
    <w:pPr>
      <w:keepNext w:val="true"/>
      <w:keepLines/>
      <w:spacing w:before="360" w:after="80"/>
      <w:outlineLvl w:val="0"/>
    </w:pPr>
    <w:rPr>
      <w:rFonts w:ascii="Aptos Display" w:hAnsi="Aptos Display" w:eastAsia="" w:cs="" w:asciiTheme="majorAscii" w:cstheme="majorBidi" w:eastAsiaTheme="majorEastAsia" w:hAnsiTheme="majorAscii"/>
      <w:b/>
      <w:bCs/>
      <w:color w:themeColor="accent1" w:themeShade="bf" w:val="0F4761"/>
      <w:sz w:val="32"/>
      <w:szCs w:val="32"/>
    </w:rPr>
  </w:style>
  <w:style w:type="paragraph" w:styleId="Heading2">
    <w:name w:val="heading 2"/>
    <w:basedOn w:val="Normal"/>
    <w:next w:val="BodyText"/>
    <w:link w:val="Heading2Char"/>
    <w:uiPriority w:val="9"/>
    <w:semiHidden/>
    <w:unhideWhenUsed/>
    <w:qFormat/>
    <w:rsid w:val="23217492"/>
    <w:pPr>
      <w:keepNext w:val="true"/>
      <w:keepLines/>
      <w:spacing w:before="160" w:after="80"/>
      <w:outlineLvl w:val="1"/>
    </w:pPr>
    <w:rPr>
      <w:rFonts w:ascii="Aptos Display" w:hAnsi="Aptos Display" w:eastAsia="" w:cs="" w:asciiTheme="majorAscii" w:cstheme="majorBidi" w:eastAsiaTheme="majorEastAsia" w:hAnsiTheme="majorAscii"/>
      <w:b/>
      <w:bCs/>
      <w:color w:themeColor="accent1" w:themeShade="bf" w:val="0F4761"/>
      <w:sz w:val="32"/>
      <w:szCs w:val="32"/>
    </w:rPr>
  </w:style>
  <w:style w:type="paragraph" w:styleId="Heading3">
    <w:name w:val="heading 3"/>
    <w:basedOn w:val="Normal"/>
    <w:next w:val="BodyText"/>
    <w:link w:val="Heading3Char"/>
    <w:uiPriority w:val="9"/>
    <w:semiHidden/>
    <w:unhideWhenUsed/>
    <w:qFormat/>
    <w:rsid w:val="23217492"/>
    <w:pPr>
      <w:keepNext w:val="true"/>
      <w:keepLines/>
      <w:spacing w:before="160" w:after="80"/>
      <w:outlineLvl w:val="2"/>
    </w:pPr>
    <w:rPr>
      <w:rFonts w:ascii="Aptos" w:hAnsi="Aptos" w:eastAsia="" w:cs="" w:asciiTheme="minorAscii" w:cstheme="majorBidi" w:eastAsiaTheme="majorEastAsia" w:hAnsiTheme="minorAscii"/>
      <w:color w:themeColor="accent1" w:themeShade="bf" w:val="0F4761"/>
      <w:sz w:val="24"/>
      <w:szCs w:val="24"/>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23217492"/>
    <w:rPr>
      <w:rFonts w:ascii="Aptos Display" w:hAnsi="Aptos Display" w:eastAsia="" w:cs="" w:asciiTheme="majorAscii" w:cstheme="majorBidi" w:eastAsiaTheme="majorEastAsia" w:hAnsiTheme="majorAscii"/>
      <w:b/>
      <w:bCs/>
      <w:sz w:val="32"/>
      <w:szCs w:val="32"/>
    </w:rPr>
  </w:style>
  <w:style w:type="character" w:styleId="SubtitleChar" w:customStyle="1">
    <w:name w:val="Subtitle Char"/>
    <w:basedOn w:val="DefaultParagraphFont"/>
    <w:link w:val="Subtitle"/>
    <w:uiPriority w:val="11"/>
    <w:qFormat/>
    <w:rsid w:val="23217492"/>
    <w:rPr>
      <w:rFonts w:ascii="Aptos Display" w:hAnsi="Aptos Display" w:eastAsia="" w:cs="" w:asciiTheme="majorAscii" w:cstheme="majorBidi" w:eastAsiaTheme="majorEastAsia" w:hAnsiTheme="majorAscii"/>
      <w:b/>
      <w:bCs/>
      <w:color w:themeColor="text1" w:themeTint="a6" w:val="595959"/>
      <w:sz w:val="24"/>
      <w:szCs w:val="24"/>
    </w:rPr>
  </w:style>
  <w:style w:type="character" w:styleId="Heading1Char" w:customStyle="1">
    <w:name w:val="Heading 1 Char"/>
    <w:basedOn w:val="DefaultParagraphFont"/>
    <w:link w:val="Heading1"/>
    <w:uiPriority w:val="9"/>
    <w:qFormat/>
    <w:rsid w:val="23217492"/>
    <w:rPr>
      <w:rFonts w:ascii="Aptos Display" w:hAnsi="Aptos Display" w:eastAsia="" w:cs="" w:asciiTheme="majorAscii" w:cstheme="majorBidi" w:eastAsiaTheme="majorEastAsia" w:hAnsiTheme="majorAscii"/>
      <w:b/>
      <w:bCs/>
      <w:color w:themeColor="accent1" w:themeShade="bf" w:val="0F4761"/>
      <w:sz w:val="32"/>
      <w:szCs w:val="32"/>
    </w:rPr>
  </w:style>
  <w:style w:type="character" w:styleId="Heading2Char" w:customStyle="1">
    <w:name w:val="Heading 2 Char"/>
    <w:basedOn w:val="DefaultParagraphFont"/>
    <w:link w:val="Heading2"/>
    <w:uiPriority w:val="9"/>
    <w:semiHidden/>
    <w:qFormat/>
    <w:rsid w:val="23217492"/>
    <w:rPr>
      <w:rFonts w:ascii="Aptos Display" w:hAnsi="Aptos Display" w:eastAsia="" w:cs="" w:asciiTheme="majorAscii" w:cstheme="majorBidi" w:eastAsiaTheme="majorEastAsia" w:hAnsiTheme="majorAscii"/>
      <w:b/>
      <w:bCs/>
      <w:color w:themeColor="accent1" w:themeShade="bf" w:val="0F4761"/>
      <w:sz w:val="32"/>
      <w:szCs w:val="32"/>
    </w:rPr>
  </w:style>
  <w:style w:type="character" w:styleId="Heading3Char" w:customStyle="1">
    <w:name w:val="Heading 3 Char"/>
    <w:basedOn w:val="DefaultParagraphFont"/>
    <w:link w:val="Heading3"/>
    <w:uiPriority w:val="9"/>
    <w:semiHidden/>
    <w:qFormat/>
    <w:rsid w:val="23217492"/>
    <w:rPr>
      <w:rFonts w:ascii="Aptos" w:hAnsi="Aptos" w:eastAsia="" w:cs="" w:asciiTheme="minorAscii" w:cstheme="majorBidi" w:eastAsiaTheme="majorEastAsia" w:hAnsiTheme="minorAscii"/>
      <w:color w:themeColor="accent1" w:themeShade="bf" w:val="0F4761"/>
      <w:sz w:val="24"/>
      <w:szCs w:val="24"/>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SubtleReference">
    <w:name w:val="Subtle Reference"/>
    <w:basedOn w:val="DefaultParagraphFont"/>
    <w:uiPriority w:val="31"/>
    <w:qFormat/>
    <w:rsid w:val="23217492"/>
    <w:rPr>
      <w:smallCaps/>
      <w:color w:val="5A5A5A"/>
    </w:rPr>
  </w:style>
  <w:style w:type="character" w:styleId="IntenseReference">
    <w:name w:val="Intense Reference"/>
    <w:basedOn w:val="DefaultParagraphFont"/>
    <w:uiPriority w:val="32"/>
    <w:qFormat/>
    <w:rsid w:val="23217492"/>
    <w:rPr>
      <w:b/>
      <w:bCs/>
      <w:smallCaps/>
      <w:color w:themeColor="accent1" w:themeShade="bf" w:val="0F4761"/>
    </w:rPr>
  </w:style>
  <w:style w:type="character" w:styleId="QuoteChar" w:customStyle="1">
    <w:name w:val="Quote Char"/>
    <w:basedOn w:val="DefaultParagraphFont"/>
    <w:link w:val="Quote"/>
    <w:uiPriority w:val="29"/>
    <w:qFormat/>
    <w:rsid w:val="23217492"/>
    <w:rPr>
      <w:i/>
      <w:iCs/>
      <w:color w:themeColor="text1" w:themeTint="bf" w:val="404040"/>
    </w:rPr>
  </w:style>
  <w:style w:type="character" w:styleId="IntenseQuoteChar" w:customStyle="1">
    <w:name w:val="Intense Quote Char"/>
    <w:basedOn w:val="DefaultParagraphFont"/>
    <w:link w:val="IntenseQuote"/>
    <w:uiPriority w:val="30"/>
    <w:qFormat/>
    <w:rsid w:val="23217492"/>
    <w:rPr>
      <w:i/>
      <w:iCs/>
      <w:color w:themeColor="accent1" w:themeShade="bf" w:val="0F4761"/>
    </w:rPr>
  </w:style>
  <w:style w:type="character" w:styleId="FooterChar" w:customStyle="1">
    <w:name w:val="Footer Char"/>
    <w:basedOn w:val="DefaultParagraphFont"/>
    <w:link w:val="Footer"/>
    <w:uiPriority w:val="99"/>
    <w:qFormat/>
    <w:rsid w:val="23217492"/>
    <w:rPr/>
  </w:style>
  <w:style w:type="character" w:styleId="HeaderChar" w:customStyle="1">
    <w:name w:val="Header Char"/>
    <w:basedOn w:val="DefaultParagraphFont"/>
    <w:link w:val="Header"/>
    <w:uiPriority w:val="99"/>
    <w:qFormat/>
    <w:rsid w:val="23217492"/>
    <w:rPr/>
  </w:style>
  <w:style w:type="character" w:styleId="MacroTextChar" w:customStyle="1">
    <w:name w:val="Macro Text Char"/>
    <w:basedOn w:val="DefaultParagraphFont"/>
    <w:link w:val="MacroText"/>
    <w:uiPriority w:val="99"/>
    <w:qFormat/>
    <w:rsid w:val="23217492"/>
    <w:rPr>
      <w:rFonts w:ascii="Consolas" w:hAnsi="Consolas"/>
      <w:sz w:val="20"/>
      <w:szCs w:val="20"/>
    </w:rPr>
  </w:style>
  <w:style w:type="character" w:styleId="EndnoteCharactersuser">
    <w:name w:val="Endnote Characters (user)"/>
    <w:qFormat/>
    <w:rPr>
      <w:vertAlign w:val="superscript"/>
    </w:rPr>
  </w:style>
  <w:style w:type="character" w:styleId="EndnoteCharacters">
    <w:name w:val="Endnote Characters"/>
    <w:qFormat/>
    <w:rPr/>
  </w:style>
  <w:style w:type="character" w:styleId="EndnoteReference">
    <w:name w:val="endnote reference"/>
    <w:rPr>
      <w:vertAlign w:val="superscript"/>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paragraph" w:styleId="Heading">
    <w:name w:val="Heading"/>
    <w:basedOn w:val="Normal"/>
    <w:next w:val="BodyText"/>
    <w:qFormat/>
    <w:pPr>
      <w:keepNext w:val="true"/>
      <w:spacing w:before="240" w:after="120"/>
    </w:pPr>
    <w:rPr>
      <w:rFonts w:ascii="Liberation Sans" w:hAnsi="Liberation Sans" w:eastAsia="Nunito ExtraLight" w:cs="Nunito ExtraLight"/>
      <w:sz w:val="28"/>
      <w:szCs w:val="28"/>
    </w:rPr>
  </w:style>
  <w:style w:type="paragraph" w:styleId="BodyText">
    <w:name w:val="Body Text"/>
    <w:basedOn w:val="Normal"/>
    <w:link w:val="BodyTextChar"/>
    <w:qFormat/>
    <w:pPr>
      <w:spacing w:lineRule="auto" w:line="480" w:before="0" w:after="590"/>
    </w:pPr>
    <w:rPr/>
  </w:style>
  <w:style w:type="paragraph" w:styleId="List">
    <w:name w:val="List"/>
    <w:basedOn w:val="BodyText"/>
    <w:pPr/>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style>
  <w:style w:type="paragraph" w:styleId="FirstParagraph" w:customStyle="1">
    <w:name w:val="First Paragraph"/>
    <w:basedOn w:val="BodyText"/>
    <w:next w:val="BodyText"/>
    <w:uiPriority w:val="1"/>
    <w:qFormat/>
    <w:rsid w:val="23217492"/>
    <w:pPr>
      <w:spacing w:lineRule="auto" w:line="480"/>
    </w:pPr>
    <w:rPr>
      <w:rFonts w:ascii="Aptos" w:hAnsi="Aptos" w:eastAsia="" w:cs="" w:asciiTheme="minorAscii" w:cstheme="minorBidi" w:eastAsiaTheme="minorEastAsia" w:hAnsiTheme="minorAscii"/>
      <w:sz w:val="24"/>
      <w:szCs w:val="24"/>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23217492"/>
    <w:pPr>
      <w:spacing w:lineRule="auto" w:line="240" w:before="0" w:after="80"/>
      <w:contextualSpacing/>
      <w:jc w:val="left"/>
    </w:pPr>
    <w:rPr>
      <w:rFonts w:ascii="Aptos Display" w:hAnsi="Aptos Display" w:eastAsia="" w:cs="" w:asciiTheme="majorAscii" w:cstheme="majorBidi" w:eastAsiaTheme="majorEastAsia" w:hAnsiTheme="majorAscii"/>
      <w:b/>
      <w:bCs/>
      <w:sz w:val="32"/>
      <w:szCs w:val="32"/>
    </w:rPr>
  </w:style>
  <w:style w:type="paragraph" w:styleId="Subtitle">
    <w:name w:val="Subtitle"/>
    <w:basedOn w:val="Title"/>
    <w:next w:val="BodyText"/>
    <w:link w:val="SubtitleChar"/>
    <w:uiPriority w:val="11"/>
    <w:qFormat/>
    <w:rsid w:val="23217492"/>
    <w:pPr/>
    <w:rPr>
      <w:sz w:val="24"/>
      <w:szCs w:val="24"/>
    </w:rPr>
  </w:style>
  <w:style w:type="paragraph" w:styleId="Author" w:customStyle="1">
    <w:name w:val="Author"/>
    <w:basedOn w:val="Title"/>
    <w:next w:val="BodyText"/>
    <w:uiPriority w:val="1"/>
    <w:qFormat/>
    <w:rsid w:val="23217492"/>
    <w:pPr>
      <w:keepNext w:val="true"/>
      <w:keepLines/>
    </w:pPr>
    <w:rPr>
      <w:b w:val="false"/>
      <w:bCs w:val="false"/>
      <w:sz w:val="24"/>
      <w:szCs w:val="24"/>
    </w:rPr>
  </w:style>
  <w:style w:type="paragraph" w:styleId="Date">
    <w:name w:val="Date"/>
    <w:basedOn w:val="Title"/>
    <w:next w:val="BodyText"/>
    <w:uiPriority w:val="1"/>
    <w:qFormat/>
    <w:rsid w:val="23217492"/>
    <w:pPr>
      <w:keepNext w:val="true"/>
      <w:keepLines/>
    </w:pPr>
    <w:rPr>
      <w:b w:val="false"/>
      <w:bCs w:val="false"/>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uiPriority w:val="1"/>
    <w:qFormat/>
    <w:rsid w:val="23217492"/>
    <w:pPr>
      <w:keepNext w:val="true"/>
      <w:keepLines/>
      <w:spacing w:before="100" w:after="300"/>
    </w:pPr>
    <w:rPr>
      <w:rFonts w:ascii="Aptos" w:hAnsi="Aptos" w:eastAsia="" w:cs="" w:asciiTheme="minorAscii" w:cstheme="minorBidi" w:eastAsiaTheme="minorEastAsia" w:hAnsiTheme="minorAscii"/>
      <w:sz w:val="24"/>
      <w:szCs w:val="24"/>
    </w:rPr>
  </w:style>
  <w:style w:type="paragraph" w:styleId="Bibliography">
    <w:name w:val="Bibliography"/>
    <w:basedOn w:val="BodyText"/>
    <w:uiPriority w:val="1"/>
    <w:qFormat/>
    <w:rsid w:val="23217492"/>
    <w:pPr/>
    <w:rPr>
      <w:rFonts w:ascii="Aptos" w:hAnsi="Aptos" w:eastAsia="" w:cs="" w:asciiTheme="minorAscii" w:cstheme="minorBidi" w:eastAsiaTheme="minorEastAsia" w:hAnsiTheme="minorAscii"/>
      <w:sz w:val="24"/>
      <w:szCs w:val="24"/>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rsid w:val="23217492"/>
    <w:pPr>
      <w:spacing w:lineRule="auto" w:line="259" w:before="240" w:after="80"/>
    </w:pPr>
    <w:rPr>
      <w:b w:val="false"/>
      <w:bCs w:val="false"/>
    </w:rPr>
  </w:style>
  <w:style w:type="paragraph" w:styleId="Quote">
    <w:name w:val="Quote"/>
    <w:basedOn w:val="Normal"/>
    <w:next w:val="Normal"/>
    <w:link w:val="QuoteChar"/>
    <w:uiPriority w:val="29"/>
    <w:qFormat/>
    <w:rsid w:val="23217492"/>
    <w:pPr>
      <w:spacing w:before="160" w:after="200"/>
      <w:jc w:val="center"/>
    </w:pPr>
    <w:rPr>
      <w:i/>
      <w:iCs/>
      <w:color w:themeColor="text1" w:themeTint="bf" w:val="404040"/>
    </w:rPr>
  </w:style>
  <w:style w:type="paragraph" w:styleId="IntenseQuote">
    <w:name w:val="Intense Quote"/>
    <w:basedOn w:val="Normal"/>
    <w:next w:val="Normal"/>
    <w:link w:val="IntenseQuoteChar"/>
    <w:uiPriority w:val="30"/>
    <w:qFormat/>
    <w:rsid w:val="23217492"/>
    <w:pP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Footer">
    <w:name w:val="footer"/>
    <w:basedOn w:val="Normal"/>
    <w:link w:val="FooterChar"/>
    <w:uiPriority w:val="99"/>
    <w:unhideWhenUsed/>
    <w:rsid w:val="23217492"/>
    <w:pPr>
      <w:spacing w:lineRule="auto" w:line="240" w:before="0" w:after="0"/>
    </w:pPr>
    <w:rPr/>
  </w:style>
  <w:style w:type="paragraph" w:styleId="Header">
    <w:name w:val="header"/>
    <w:basedOn w:val="Normal"/>
    <w:link w:val="HeaderChar"/>
    <w:uiPriority w:val="99"/>
    <w:unhideWhenUsed/>
    <w:rsid w:val="23217492"/>
    <w:pPr>
      <w:spacing w:lineRule="auto" w:line="240" w:before="0" w:after="0"/>
    </w:pPr>
    <w:rPr/>
  </w:style>
  <w:style w:type="paragraph" w:styleId="ListBullet2">
    <w:name w:val="List Bullet 2"/>
    <w:basedOn w:val="Normal"/>
    <w:uiPriority w:val="99"/>
    <w:unhideWhenUsed/>
    <w:rsid w:val="23217492"/>
    <w:pPr>
      <w:tabs>
        <w:tab w:val="clear" w:pos="720"/>
        <w:tab w:val="left" w:pos="643" w:leader="none"/>
      </w:tabs>
      <w:spacing w:before="0" w:after="200"/>
      <w:ind w:hanging="360" w:left="643"/>
      <w:contextualSpacing/>
    </w:pPr>
    <w:rPr/>
  </w:style>
  <w:style w:type="paragraph" w:styleId="ListBullet3">
    <w:name w:val="List Bullet 3"/>
    <w:basedOn w:val="Normal"/>
    <w:uiPriority w:val="99"/>
    <w:unhideWhenUsed/>
    <w:rsid w:val="23217492"/>
    <w:pPr>
      <w:tabs>
        <w:tab w:val="clear" w:pos="720"/>
        <w:tab w:val="left" w:pos="926" w:leader="none"/>
      </w:tabs>
      <w:spacing w:before="0" w:after="200"/>
      <w:ind w:hanging="360" w:left="926"/>
      <w:contextualSpacing/>
    </w:pPr>
    <w:rPr/>
  </w:style>
  <w:style w:type="paragraph" w:styleId="ListBullet4">
    <w:name w:val="List Bullet 4"/>
    <w:basedOn w:val="Normal"/>
    <w:uiPriority w:val="99"/>
    <w:unhideWhenUsed/>
    <w:rsid w:val="23217492"/>
    <w:pPr>
      <w:tabs>
        <w:tab w:val="clear" w:pos="720"/>
        <w:tab w:val="left" w:pos="1209" w:leader="none"/>
      </w:tabs>
      <w:spacing w:before="0" w:after="200"/>
      <w:ind w:hanging="360" w:left="1209"/>
      <w:contextualSpacing/>
    </w:pPr>
    <w:rPr/>
  </w:style>
  <w:style w:type="paragraph" w:styleId="ListBullet5">
    <w:name w:val="List Bullet 5"/>
    <w:basedOn w:val="Normal"/>
    <w:uiPriority w:val="99"/>
    <w:unhideWhenUsed/>
    <w:rsid w:val="23217492"/>
    <w:pPr>
      <w:tabs>
        <w:tab w:val="clear" w:pos="720"/>
        <w:tab w:val="left" w:pos="1492" w:leader="none"/>
      </w:tabs>
      <w:spacing w:before="0" w:after="200"/>
      <w:ind w:hanging="360" w:left="1492"/>
      <w:contextualSpacing/>
    </w:pPr>
    <w:rPr/>
  </w:style>
  <w:style w:type="paragraph" w:styleId="ListNumber2">
    <w:name w:val="List Number 2"/>
    <w:basedOn w:val="Normal"/>
    <w:uiPriority w:val="99"/>
    <w:unhideWhenUsed/>
    <w:rsid w:val="23217492"/>
    <w:pPr>
      <w:tabs>
        <w:tab w:val="clear" w:pos="720"/>
        <w:tab w:val="left" w:pos="643" w:leader="none"/>
      </w:tabs>
      <w:spacing w:before="0" w:after="200"/>
      <w:ind w:left="643"/>
      <w:contextualSpacing/>
    </w:pPr>
    <w:rPr/>
  </w:style>
  <w:style w:type="paragraph" w:styleId="ListNumber3">
    <w:name w:val="List Number 3"/>
    <w:basedOn w:val="Normal"/>
    <w:uiPriority w:val="99"/>
    <w:unhideWhenUsed/>
    <w:rsid w:val="23217492"/>
    <w:pPr>
      <w:tabs>
        <w:tab w:val="clear" w:pos="720"/>
        <w:tab w:val="left" w:pos="926" w:leader="none"/>
        <w:tab w:val="left" w:pos="1080" w:leader="none"/>
      </w:tabs>
      <w:spacing w:before="0" w:after="200"/>
      <w:ind w:hanging="360" w:left="1080"/>
      <w:contextualSpacing/>
    </w:pPr>
    <w:rPr/>
  </w:style>
  <w:style w:type="paragraph" w:styleId="ListNumber4">
    <w:name w:val="List Number 4"/>
    <w:basedOn w:val="Normal"/>
    <w:uiPriority w:val="99"/>
    <w:unhideWhenUsed/>
    <w:rsid w:val="23217492"/>
    <w:pPr>
      <w:tabs>
        <w:tab w:val="clear" w:pos="720"/>
        <w:tab w:val="left" w:pos="1209" w:leader="none"/>
      </w:tabs>
      <w:spacing w:before="0" w:after="200"/>
      <w:ind w:left="1209"/>
      <w:contextualSpacing/>
    </w:pPr>
    <w:rPr/>
  </w:style>
  <w:style w:type="paragraph" w:styleId="ListNumber5">
    <w:name w:val="List Number 5"/>
    <w:basedOn w:val="Normal"/>
    <w:uiPriority w:val="99"/>
    <w:unhideWhenUsed/>
    <w:rsid w:val="23217492"/>
    <w:pPr>
      <w:tabs>
        <w:tab w:val="clear" w:pos="720"/>
        <w:tab w:val="left" w:pos="1492" w:leader="none"/>
      </w:tabs>
      <w:spacing w:before="0" w:after="200"/>
      <w:ind w:left="1492"/>
      <w:contextualSpacing/>
    </w:pPr>
    <w:rPr/>
  </w:style>
  <w:style w:type="paragraph" w:styleId="MacroText">
    <w:name w:val="macro"/>
    <w:link w:val="MacroTextChar"/>
    <w:uiPriority w:val="99"/>
    <w:unhideWhenUsed/>
    <w:qFormat/>
    <w:rsid w:val="23217492"/>
    <w:pPr>
      <w:widowControl/>
      <w:suppressAutoHyphens w:val="true"/>
      <w:bidi w:val="0"/>
      <w:spacing w:before="0" w:after="0"/>
      <w:jc w:val="left"/>
    </w:pPr>
    <w:rPr>
      <w:rFonts w:ascii="Consolas" w:hAnsi="Consolas" w:eastAsia="" w:cs="" w:cstheme="minorBidi" w:eastAsiaTheme="minorEastAsia"/>
      <w:color w:val="auto"/>
      <w:kern w:val="0"/>
      <w:sz w:val="20"/>
      <w:szCs w:val="20"/>
      <w:lang w:val="en-US" w:eastAsia="zh-CN" w:bidi="ar-SA"/>
    </w:rPr>
  </w:style>
  <w:style w:type="paragraph" w:styleId="SourceCode" w:customStyle="1">
    <w:name w:val="Source Code"/>
    <w:basedOn w:val="Normal"/>
    <w:link w:val="VerbatimChar"/>
    <w:qFormat/>
    <w:pPr>
      <w:shd w:val="clear" w:fill="F1F3F5"/>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hyperlink" Target="https://doi.org/10.1093/ije/dyaa213" TargetMode="External"/><Relationship Id="rId42" Type="http://schemas.openxmlformats.org/officeDocument/2006/relationships/hyperlink" Target="https://doi.org/10.1164/rccm.202006-2381CP" TargetMode="External"/><Relationship Id="rId43" Type="http://schemas.openxmlformats.org/officeDocument/2006/relationships/hyperlink" Target="https://doi.org/10.1038/s41562-021-01177-7" TargetMode="External"/><Relationship Id="rId44" Type="http://schemas.openxmlformats.org/officeDocument/2006/relationships/hyperlink" Target="https://arxiv.org/abs/2011.01808" TargetMode="External"/><Relationship Id="rId45" Type="http://schemas.openxmlformats.org/officeDocument/2006/relationships/hyperlink" Target="https://doi.org/10.32614/CRAN.package.quarto" TargetMode="External"/><Relationship Id="rId46" Type="http://schemas.openxmlformats.org/officeDocument/2006/relationships/hyperlink" Target="https://github.com/rstudio/rmarkdown" TargetMode="External"/><Relationship Id="rId47" Type="http://schemas.openxmlformats.org/officeDocument/2006/relationships/hyperlink" Target="https://doi.org/10.18637/jss.v103.i01" TargetMode="External"/><Relationship Id="rId48" Type="http://schemas.openxmlformats.org/officeDocument/2006/relationships/hyperlink" Target="https://doi.org/10.18637/jss.v111.i09" TargetMode="External"/><Relationship Id="rId49" Type="http://schemas.openxmlformats.org/officeDocument/2006/relationships/hyperlink" Target="https://doi.org/10.32614/CRAN.package.ggdag" TargetMode="External"/><Relationship Id="rId50" Type="http://schemas.openxmlformats.org/officeDocument/2006/relationships/hyperlink" Target="https://doi.org/10.32614/RJ-2021-048" TargetMode="External"/><Relationship Id="rId51" Type="http://schemas.openxmlformats.org/officeDocument/2006/relationships/hyperlink" Target="https://doi.org/10.32614/RJ-2021-048" TargetMode="External"/><Relationship Id="rId52" Type="http://schemas.openxmlformats.org/officeDocument/2006/relationships/hyperlink" Target="https://doi.org/10.32614/CRAN.package.broom.mixed" TargetMode="External"/><Relationship Id="rId53" Type="http://schemas.openxmlformats.org/officeDocument/2006/relationships/hyperlink" Target="https://doi.org/10.18637/jss.v080.i01" TargetMode="External"/><Relationship Id="rId54" Type="http://schemas.openxmlformats.org/officeDocument/2006/relationships/hyperlink" Target="https://doi.org/10.32614/RJ-2018-017" TargetMode="External"/><Relationship Id="rId55" Type="http://schemas.openxmlformats.org/officeDocument/2006/relationships/hyperlink" Target="https://doi.org/10.18637/jss.v100.i05" TargetMode="External"/><Relationship Id="rId56" Type="http://schemas.openxmlformats.org/officeDocument/2006/relationships/hyperlink" Target="https://doi.org/10.32614/CRAN.package.janitor" TargetMode="External"/><Relationship Id="rId57" Type="http://schemas.openxmlformats.org/officeDocument/2006/relationships/hyperlink" Target="https://mc-stan.org/cmdstanr/" TargetMode="External"/><Relationship Id="rId58" Type="http://schemas.openxmlformats.org/officeDocument/2006/relationships/hyperlink" Target="https://mc-stan.org/bayesplot/" TargetMode="External"/><Relationship Id="rId59" Type="http://schemas.openxmlformats.org/officeDocument/2006/relationships/hyperlink" Target="https://doi.org/10.1111/rssa.12378" TargetMode="External"/><Relationship Id="rId60" Type="http://schemas.openxmlformats.org/officeDocument/2006/relationships/hyperlink" Target="https://doi.org/10.5281/zenodo.4679423" TargetMode="External"/><Relationship Id="rId61" Type="http://schemas.openxmlformats.org/officeDocument/2006/relationships/hyperlink" Target="https://doi.org/10.32614/CRAN.package.rlang" TargetMode="External"/><Relationship Id="rId62" Type="http://schemas.openxmlformats.org/officeDocument/2006/relationships/hyperlink" Target="https://doi.org/10.32614/CRAN.package.glue" TargetMode="External"/><Relationship Id="rId63" Type="http://schemas.openxmlformats.org/officeDocument/2006/relationships/hyperlink" Target="https://doi.org/10.32614/CRAN.package.withr" TargetMode="External"/><Relationship Id="rId64" Type="http://schemas.openxmlformats.org/officeDocument/2006/relationships/hyperlink" Target="https://doi.org/10.32614/CRAN.package.gt" TargetMode="External"/><Relationship Id="rId65" Type="http://schemas.openxmlformats.org/officeDocument/2006/relationships/hyperlink" Target="https://doi.org/10.1109/TVCG.2023.3327195" TargetMode="External"/><Relationship Id="rId66" Type="http://schemas.openxmlformats.org/officeDocument/2006/relationships/hyperlink" Target="https://doi.org/10.5281/zenodo.1308151" TargetMode="External"/><Relationship Id="rId67" Type="http://schemas.openxmlformats.org/officeDocument/2006/relationships/hyperlink" Target="https://doi.org/10.5281/zenodo.3879620" TargetMode="External"/><Relationship Id="rId68" Type="http://schemas.openxmlformats.org/officeDocument/2006/relationships/hyperlink" Target="https://doi.org/10.21105/joss.02959" TargetMode="External"/><Relationship Id="rId69" Type="http://schemas.openxmlformats.org/officeDocument/2006/relationships/hyperlink" Target="https://doi.org/10.32614/CRAN.package.MetBrewer" TargetMode="External"/><Relationship Id="rId70" Type="http://schemas.openxmlformats.org/officeDocument/2006/relationships/hyperlink" Target="https://doi.org/10.32614/CRAN.package.here" TargetMode="External"/><Relationship Id="rId71" Type="http://schemas.openxmlformats.org/officeDocument/2006/relationships/hyperlink" Target="https://doi.org/10.32614/CRAN.package.tibble" TargetMode="External"/><Relationship Id="rId72" Type="http://schemas.openxmlformats.org/officeDocument/2006/relationships/hyperlink" Target="https://doi.org/10.32614/CRAN.package.patchwork" TargetMode="External"/><Relationship Id="rId73" Type="http://schemas.openxmlformats.org/officeDocument/2006/relationships/hyperlink" Target="https://doi.org/10.32614/CRAN.package.systemfonts" TargetMode="External"/><Relationship Id="rId74" Type="http://schemas.openxmlformats.org/officeDocument/2006/relationships/hyperlink" Target="https://doi.org/10.32614/CRAN.package.showtext" TargetMode="External"/><Relationship Id="rId75" Type="http://schemas.openxmlformats.org/officeDocument/2006/relationships/hyperlink" Target="https://doi.org/10.32614/R.manuals" TargetMode="External"/><Relationship Id="rId76" Type="http://schemas.openxmlformats.org/officeDocument/2006/relationships/hyperlink" Target="https://doi.org/10.32614/R.manuals" TargetMode="External"/><Relationship Id="rId77" Type="http://schemas.openxmlformats.org/officeDocument/2006/relationships/hyperlink" Target="https://doi.org/10.32614/R.manuals" TargetMode="External"/><Relationship Id="rId78" Type="http://schemas.openxmlformats.org/officeDocument/2006/relationships/hyperlink" Target="https://doi.org/10.32614/CRAN.package.broom" TargetMode="External"/><Relationship Id="rId79" Type="http://schemas.openxmlformats.org/officeDocument/2006/relationships/hyperlink" Target="https://doi.org/10.32614/CRAN.package.smd" TargetMode="External"/><Relationship Id="rId80" Type="http://schemas.openxmlformats.org/officeDocument/2006/relationships/hyperlink" Target="https://doi.org/10.32614/RJ-2021-053" TargetMode="External"/><Relationship Id="rId81" Type="http://schemas.openxmlformats.org/officeDocument/2006/relationships/hyperlink" Target="https://doi.org/10.1093/ije/dyw341" TargetMode="External"/><Relationship Id="rId82" Type="http://schemas.openxmlformats.org/officeDocument/2006/relationships/hyperlink" Target="https://doi.org/10.32614/CRAN.package.monochromeR" TargetMode="External"/><Relationship Id="rId83" Type="http://schemas.openxmlformats.org/officeDocument/2006/relationships/hyperlink" Target="https://github.com/erocoar/gghalves" TargetMode="External"/><Relationship Id="rId84" Type="http://schemas.openxmlformats.org/officeDocument/2006/relationships/hyperlink" Target="https://doi.org/10.18637/jss.v105.i07" TargetMode="External"/><Relationship Id="rId85" Type="http://schemas.openxmlformats.org/officeDocument/2006/relationships/hyperlink" Target="https://doi.org/10.32614/CRAN.package.renv" TargetMode="External"/><Relationship Id="rId86" Type="http://schemas.openxmlformats.org/officeDocument/2006/relationships/hyperlink" Target="https://doi.org/10.18637/jss.v045.i03" TargetMode="External"/><Relationship Id="rId87" Type="http://schemas.openxmlformats.org/officeDocument/2006/relationships/hyperlink" Target="https://doi.org/10.32614/CRAN.package.skimr" TargetMode="External"/><Relationship Id="rId88" Type="http://schemas.openxmlformats.org/officeDocument/2006/relationships/hyperlink" Target="https://ggplot2.tidyverse.org/" TargetMode="External"/><Relationship Id="rId89" Type="http://schemas.openxmlformats.org/officeDocument/2006/relationships/hyperlink" Target="https://doi.org/10.32614/CRAN.package.stringr" TargetMode="External"/><Relationship Id="rId90" Type="http://schemas.openxmlformats.org/officeDocument/2006/relationships/hyperlink" Target="https://doi.org/10.21105/joss.01686" TargetMode="External"/><Relationship Id="rId91" Type="http://schemas.openxmlformats.org/officeDocument/2006/relationships/hyperlink" Target="https://doi.org/10.32614/CRAN.package.dplyr" TargetMode="External"/><Relationship Id="rId92" Type="http://schemas.openxmlformats.org/officeDocument/2006/relationships/hyperlink" Target="https://doi.org/10.32614/CRAN.package.purrr" TargetMode="External"/><Relationship Id="rId93" Type="http://schemas.openxmlformats.org/officeDocument/2006/relationships/hyperlink" Target="https://doi.org/10.32614/CRAN.package.scales" TargetMode="External"/><Relationship Id="rId94" Type="http://schemas.openxmlformats.org/officeDocument/2006/relationships/hyperlink" Target="https://doi.org/10.32614/CRAN.package.tidyr" TargetMode="External"/><Relationship Id="rId95" Type="http://schemas.openxmlformats.org/officeDocument/2006/relationships/hyperlink" Target="https://doi.org/10.32614/CRAN.package.ggridges" TargetMode="External"/><Relationship Id="rId96" Type="http://schemas.openxmlformats.org/officeDocument/2006/relationships/hyperlink" Target="https://doi.org/10.32614/CRAN.package.ggtext" TargetMode="External"/><Relationship Id="rId97" Type="http://schemas.openxmlformats.org/officeDocument/2006/relationships/hyperlink" Target="https://yihui.org/rmarkdown/" TargetMode="External"/><Relationship Id="rId98" Type="http://schemas.openxmlformats.org/officeDocument/2006/relationships/hyperlink" Target="https://yihui.org/rmarkdown-cookbook" TargetMode="External"/><Relationship Id="rId99" Type="http://schemas.openxmlformats.org/officeDocument/2006/relationships/footer" Target="footer1.xml"/><Relationship Id="rId100" Type="http://schemas.openxmlformats.org/officeDocument/2006/relationships/footer" Target="footer2.xml"/><Relationship Id="rId101" Type="http://schemas.openxmlformats.org/officeDocument/2006/relationships/numbering" Target="numbering.xml"/><Relationship Id="rId102" Type="http://schemas.openxmlformats.org/officeDocument/2006/relationships/fontTable" Target="fontTable.xml"/><Relationship Id="rId103" Type="http://schemas.openxmlformats.org/officeDocument/2006/relationships/settings" Target="settings.xml"/><Relationship Id="rId10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LibreOffice/26.2.4.2$Linux_X86_64 LibreOffice_project/620$Build-2</Application>
  <AppVersion>15.0000</AppVersion>
  <Pages>102</Pages>
  <Words>6648</Words>
  <Characters>39662</Characters>
  <CharactersWithSpaces>45271</CharactersWithSpaces>
  <Paragraphs>1096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2026-06-19T18:30:26Z</dcterms:created>
  <dc:creator/>
  <dc:description/>
  <dc:language>en-US</dc:language>
  <cp:lastModifiedBy/>
  <dcterms:modified xsi:type="dcterms:W3CDTF">2026-07-13T14:57:01Z</dcterms:modified>
  <cp:revision>1</cp:revision>
  <dc:subject/>
  <dc:title>Association of Hemispheric Laterality with Neurosurgery in ICH: A Post-Hoc Bayesian Analysis of ATACH-2 and ERICH</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sl">
    <vt:lpwstr>stroke.csl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message">
    <vt:lpwstr>False</vt:lpwstr>
  </property>
  <property fmtid="{D5CDD505-2E9C-101B-9397-08002B2CF9AE}" pid="15" name="toc-title">
    <vt:lpwstr>Table of contents</vt:lpwstr>
  </property>
</Properties>
</file>