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Patients with Left Hemispheric Intracerebral Hemorrhage are Less Likely to Receive Neurosurgical Intervention</w:t>
      </w:r>
    </w:p>
    <w:p>
      <w:pPr>
        <w:pStyle w:val="Subtitle"/>
      </w:pPr>
      <w:r>
        <w:t xml:space="preserve">A Post Hoc Bayesian Analysis using data from ATACH-2 and ERICH</w:t>
      </w:r>
    </w:p>
    <w:p>
      <w:pPr>
        <w:pStyle w:val="Date"/>
      </w:pPr>
      <w:r>
        <w:t xml:space="preserve">2026-04-20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p>
    <w:bookmarkEnd w:id="9"/>
    <w:bookmarkStart w:id="19" w:name="methods"/>
    <w:p>
      <w:pPr>
        <w:pStyle w:val="Heading2"/>
      </w:pPr>
      <w:r>
        <w:t xml:space="preserve">Methods</w:t>
      </w:r>
    </w:p>
    <w:bookmarkStart w:id="10"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0"/>
    <w:bookmarkStart w:id="11"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1"/>
    <w:bookmarkStart w:id="16"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vertAlign w:val="superscript"/>
        </w:rPr>
        <w:t xml:space="preserve">16,17</w:t>
      </w:r>
    </w:p>
    <w:p>
      <w:pPr>
        <w:pStyle w:val="BodyText"/>
      </w:pPr>
      <w:r>
        <w:t xml:space="preserve">This report follows suggestions from the Bayesian Analysis Reporting Guidelines.</w:t>
      </w:r>
      <w:r>
        <w:rPr>
          <w:vertAlign w:val="superscript"/>
        </w:rPr>
        <w:t xml:space="preserve">18</w:t>
      </w:r>
      <w:r>
        <w:t xml:space="preserve"> </w:t>
      </w:r>
      <w:r>
        <w:t xml:space="preserve">For binary endpoints, hierarchal Bayesian logistic regression models were used. For ordinal endpoints, hierarchal Bayesian ordinal logisitic regression models were used. All analyses were performed in R version 4.4.2 (R Foundation for Statistical Computing, Vienna, Austria) using the</w:t>
      </w:r>
      <w:r>
        <w:t xml:space="preserve"> </w:t>
      </w:r>
      <w:r>
        <w:t xml:space="preserve">‘brms’</w:t>
      </w:r>
      <w:r>
        <w:t xml:space="preserve"> </w:t>
      </w:r>
      <w:r>
        <w:t xml:space="preserve">and</w:t>
      </w:r>
      <w:r>
        <w:t xml:space="preserve"> </w:t>
      </w:r>
      <w:r>
        <w:t xml:space="preserve">‘tidybayes’</w:t>
      </w:r>
      <w:r>
        <w:t xml:space="preserve"> </w:t>
      </w:r>
      <w:r>
        <w:t xml:space="preserve">packages.</w:t>
      </w:r>
    </w:p>
    <w:bookmarkStart w:id="12" w:name="covariate-selection"/>
    <w:p>
      <w:pPr>
        <w:pStyle w:val="Heading4"/>
      </w:pPr>
      <w:r>
        <w:t xml:space="preserve">Covariate Selection</w:t>
      </w:r>
    </w:p>
    <w:p>
      <w:pPr>
        <w:pStyle w:val="FirstParagraph"/>
      </w:pPr>
      <w:r>
        <w:t xml:space="preserve">We constructed directed acyclic graphs (DAGs) to model our causal assumptions and to appropriately select variables to minimize confounding and selection bias.</w:t>
      </w:r>
      <w:r>
        <w:rPr>
          <w:vertAlign w:val="superscript"/>
        </w:rPr>
        <w:t xml:space="preserve">19–21</w:t>
      </w:r>
      <w:r>
        <w:t xml:space="preserve"> </w:t>
      </w:r>
      <w:r>
        <w:t xml:space="preserve">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p>
    <w:bookmarkEnd w:id="12"/>
    <w:bookmarkStart w:id="13"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13"/>
    <w:bookmarkStart w:id="14"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p>
    <w:bookmarkEnd w:id="14"/>
    <w:bookmarkStart w:id="15" w:name="Xb6b655a891224ddee9981b292c43eac49eeddc4"/>
    <w:p>
      <w:pPr>
        <w:pStyle w:val="Heading4"/>
      </w:pPr>
      <w:r>
        <w:t xml:space="preserve">Missing Data Treatment and Sensitivity Analyses</w:t>
      </w:r>
    </w:p>
    <w:p>
      <w:pPr>
        <w:pStyle w:val="FirstParagraph"/>
      </w:pPr>
      <w:r>
        <w:t xml:space="preserve">For our primary analysis, we used a complete case approach. To assess the robustness of our findings, we conducted a sensitivity analysis using multiple imputation with chained equations (MICE) to address missing data for all covariates.</w:t>
      </w:r>
    </w:p>
    <w:p>
      <w:pPr>
        <w:pStyle w:val="BodyText"/>
      </w:pPr>
      <w:r>
        <w:t xml:space="preserve">In addition to the missing data analysis, we analyzed our models using the four sets of prior distributions described above, which allowed us to examine the influence of prior choices on the posterior distributions. Further details on the methods and results of these sensitivity analyses are presented in the Supplementary Appendix.</w:t>
      </w:r>
    </w:p>
    <w:bookmarkEnd w:id="15"/>
    <w:bookmarkEnd w:id="16"/>
    <w:bookmarkStart w:id="18"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7">
        <w:r>
          <w:rPr>
            <w:rStyle w:val="Hyperlink"/>
          </w:rPr>
          <w:t xml:space="preserve">https://github.com/nikhilpatelmd/ich-laterality</w:t>
        </w:r>
      </w:hyperlink>
      <w:r>
        <w:t xml:space="preserve">.</w:t>
      </w:r>
    </w:p>
    <w:bookmarkEnd w:id="18"/>
    <w:bookmarkEnd w:id="19"/>
    <w:bookmarkStart w:id="27" w:name="results"/>
    <w:p>
      <w:pPr>
        <w:pStyle w:val="Heading2"/>
      </w:pPr>
      <w:r>
        <w:t xml:space="preserve">Results</w:t>
      </w:r>
    </w:p>
    <w:bookmarkStart w:id="20"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0"/>
    <w:bookmarkStart w:id="21"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1.65, 95% credible interval 1.28 - 2.14). The posterior probability that the aOR was greater than 1 was 100%. The posterior probability of the aOR being greater than 1.2, indicating a substantial difference, was 99%. A very small portion of the posterior probability was inside of the ROPE (0%).</w:t>
      </w:r>
    </w:p>
    <w:p>
      <w:pPr>
        <w:pStyle w:val="BodyText"/>
      </w:pPr>
      <w:r>
        <w:t xml:space="preserve">The results using different pre-defined priors were consistent with the findings in the main model (Figure 1). Sensitivity analyses yielded similar results (Supplemental Appendix).</w:t>
      </w:r>
    </w:p>
    <w:bookmarkEnd w:id="21"/>
    <w:bookmarkStart w:id="22"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1.22, 95% credible interval 1.04 - 1.44). The posterior probability that the aOR was greater than 1 was 99%. The posterior probability that the aOR was greater than 1.2 was 58%. About 3% of the posterior distribution was inside of the ROPE.</w:t>
      </w:r>
    </w:p>
    <w:p>
      <w:pPr>
        <w:pStyle w:val="BodyText"/>
      </w:pPr>
      <w:r>
        <w:t xml:space="preserve">Other secondary outcomes showed smaller and less certain associations with hemispheric laterality.</w:t>
      </w:r>
    </w:p>
    <w:bookmarkEnd w:id="22"/>
    <w:bookmarkStart w:id="25" w:name="subgroup-analyses"/>
    <w:p>
      <w:pPr>
        <w:pStyle w:val="Heading3"/>
      </w:pPr>
      <w:r>
        <w:t xml:space="preserve">Subgroup Analyses</w:t>
      </w:r>
    </w:p>
    <w:p>
      <w:pPr>
        <w:pStyle w:val="FirstParagraph"/>
      </w:pPr>
      <w:r>
        <w:t xml:space="preserve">The results of the pre-specified subgroup analyses are shown in Table 3.</w:t>
      </w:r>
    </w:p>
    <w:bookmarkStart w:id="23" w:name="ich-location"/>
    <w:p>
      <w:pPr>
        <w:pStyle w:val="Heading4"/>
      </w:pPr>
      <w:r>
        <w:t xml:space="preserve">ICH Location</w:t>
      </w:r>
    </w:p>
    <w:p>
      <w:pPr>
        <w:pStyle w:val="FirstParagraph"/>
      </w:pPr>
      <w:r>
        <w:t xml:space="preserve">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1.73, 95% credible interval 1.34 - 2.38). The posterior probability that the aOR was greater than 1 was 100%. The posterior probability that the aOR was greater than 1.2 was 100%. The entire posterior distribution was outside of the ROPE.</w:t>
      </w:r>
    </w:p>
    <w:bookmarkEnd w:id="23"/>
    <w:bookmarkStart w:id="24" w:name="study"/>
    <w:p>
      <w:pPr>
        <w:pStyle w:val="Heading4"/>
      </w:pPr>
      <w:r>
        <w:t xml:space="preserve">Study</w:t>
      </w:r>
    </w:p>
    <w:p>
      <w:pPr>
        <w:pStyle w:val="FirstParagraph"/>
      </w:pPr>
      <w:r>
        <w:t xml:space="preserve">The effect of hemispheric laterality was bigger in the ERICH cohort as compared to the ATACH-2 cohort. Of the patients enrolled in ERICH, 73 (5.8%) patients with left hemispheric ICH underwent neurosurgical intervention as compared to 114 (9.2%) patients with right hemispheric ICH (aOR 1.59, 95% credible interval 1.25 - 2.14). The posterior probability that the aOR was greater than 1 was 100%. The posterior probability that the aOR was greater than 1.2 was 100%. The entire posterior distribution was outside of the ROPE.</w:t>
      </w:r>
    </w:p>
    <w:bookmarkEnd w:id="24"/>
    <w:bookmarkEnd w:id="25"/>
    <w:bookmarkStart w:id="26"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4. The aOR for a worse mRS score at 90 days associated with right hemispheric ICH compared to left hemispheric ICH was 0.99 (95% credible interval 0.98 - 1.00). The posterior probability that the aOR was &gt; 1 was 1%. The posterior probability that the aOR was &gt; 1.2 was 0%. About 100% of the posterior distribution was inside of the ROPE.</w:t>
      </w:r>
    </w:p>
    <w:p>
      <w:pPr>
        <w:pStyle w:val="BodyText"/>
      </w:pPr>
      <w:r>
        <w:t xml:space="preserve">When examining HRQOL, the largest differences between groups was in the Moblity and Self-Care domains. The aOR for a worse EuroQOL - Moblity score associated with right hemispheric ICH compared to left hemispheric ICH was 1.03 (95% credible interval 1.01 - 1.05) with similar results for the Self-Care domain. The posterior probability that the aOR was &gt; 1 was 100% for both domains, with the posterior probability that the aOR was &gt; 1.2 being 0%.</w:t>
      </w:r>
    </w:p>
    <w:p>
      <w:pPr>
        <w:pStyle w:val="BodyText"/>
      </w:pPr>
      <w:r>
        <w:t xml:space="preserve">Results from using different priors and sensitivity analyses are presented in the Supplementary Appendix and did not significantly alter the results.</w:t>
      </w:r>
    </w:p>
    <w:bookmarkEnd w:id="26"/>
    <w:bookmarkEnd w:id="27"/>
    <w:bookmarkStart w:id="28" w:name="discussion"/>
    <w:p>
      <w:pPr>
        <w:pStyle w:val="Heading2"/>
      </w:pPr>
      <w:r>
        <w:t xml:space="preserve">Discussion</w:t>
      </w:r>
    </w:p>
    <w:p>
      <w:pPr>
        <w:pStyle w:val="FirstParagraph"/>
      </w:pPr>
      <w:r>
        <w:t xml:space="preserve">In this pooled analysis of 3477 patients with ICH, we found evidence that those with right hemispheric ICH were more likely to receive neurosurgical intervention than those with left hemispheric ICH. Specifically, patients with right hemispheric ICH had 1.65 times the odds of receiving a neurosurgical intervention and 1.22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w:t>
      </w:r>
    </w:p>
    <w:p>
      <w:pPr>
        <w:pStyle w:val="BodyText"/>
      </w:pPr>
      <w:r>
        <w:t xml:space="preserve">This finding is particularly important in light of recent evidence suggesting that surgical interventions, such as hematoma evacuation and decompressive craniectomy, may improve outcomes in some ICH patients</w:t>
      </w:r>
      <w:r>
        <w:rPr>
          <w:vertAlign w:val="superscript"/>
        </w:rPr>
        <w:t xml:space="preserve">3,13</w:t>
      </w:r>
      <w: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 While treatment bias based on hemispheric laterality is not well-characterized in ICH, there are several studies that have found that clinicians, patients, and families place particular importance in language deficits and thus are less optimistic about dominant-hemispheric injuries.</w:t>
      </w:r>
      <w:r>
        <w:rPr>
          <w:vertAlign w:val="superscript"/>
        </w:rPr>
        <w:t xml:space="preserve">22–24</w:t>
      </w:r>
      <w:r>
        <w:t xml:space="preserve"> </w:t>
      </w:r>
      <w:r>
        <w:t xml:space="preserve">This attitude potentially may not be warranted if patients with left hemispheric injury report equivalent or improved quality of life outcomes compared to those with right hemispheric injury.</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25,26</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27</w:t>
      </w:r>
    </w:p>
    <w:p>
      <w:pPr>
        <w:pStyle w:val="BodyText"/>
      </w:pPr>
      <w:r>
        <w:t xml:space="preserve">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surveying clinicians, patients, and families with a variety of cultural and socioeconomic backgrounds as well as in a range of practice settings to further investigate the potential spectrum of biases in treatment decisions and their impact on outcomes.</w:t>
      </w:r>
    </w:p>
    <w:bookmarkEnd w:id="28"/>
    <w:bookmarkStart w:id="82" w:name="conclusions"/>
    <w:p>
      <w:pPr>
        <w:pStyle w:val="Heading2"/>
      </w:pPr>
      <w:r>
        <w:t xml:space="preserve">Conclusions</w:t>
      </w:r>
    </w:p>
    <w:p>
      <w:pPr>
        <w:pStyle w:val="FirstParagraph"/>
      </w:pPr>
      <w:r>
        <w:t xml:space="preserve">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bookmarkStart w:id="81" w:name="refs"/>
    <w:bookmarkStart w:id="30"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9">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30"/>
    <w:bookmarkStart w:id="32" w:name="Xb1ab0250ddbe95fd4f2ad9af76384f9c74d3ea6"/>
    <w:p>
      <w:pPr>
        <w:pStyle w:val="Bibliography"/>
      </w:pPr>
      <w:r>
        <w:t xml:space="preserve">2.</w:t>
      </w:r>
      <w:r>
        <w:t xml:space="preserve"> </w:t>
      </w:r>
      <w:r>
        <w:t xml:space="preserve">	</w:t>
      </w:r>
      <w:r>
        <w:t xml:space="preserve">Sheth KN.</w:t>
      </w:r>
      <w:r>
        <w:t xml:space="preserve"> </w:t>
      </w:r>
      <w:hyperlink r:id="rId31">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2"/>
    <w:bookmarkStart w:id="34"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3">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4"/>
    <w:bookmarkStart w:id="36"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5">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6"/>
    <w:bookmarkStart w:id="38" w:name="ref-dileggeImpactLesionSide2005"/>
    <w:p>
      <w:pPr>
        <w:pStyle w:val="Bibliography"/>
      </w:pPr>
      <w:r>
        <w:t xml:space="preserve">5.</w:t>
      </w:r>
      <w:r>
        <w:t xml:space="preserve"> </w:t>
      </w:r>
      <w:r>
        <w:t xml:space="preserve">	</w:t>
      </w:r>
      <w:r>
        <w:t xml:space="preserve">Di Legge S, Fang J, Saposnik G, Hachinski V.</w:t>
      </w:r>
      <w:r>
        <w:t xml:space="preserve"> </w:t>
      </w:r>
      <w:hyperlink r:id="rId37">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8"/>
    <w:bookmarkStart w:id="40"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9">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40"/>
    <w:bookmarkStart w:id="42"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41">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2"/>
    <w:bookmarkStart w:id="44" w:name="ref-liStrokeLateralizationLarge2021"/>
    <w:p>
      <w:pPr>
        <w:pStyle w:val="Bibliography"/>
      </w:pPr>
      <w:r>
        <w:t xml:space="preserve">8.</w:t>
      </w:r>
      <w:r>
        <w:t xml:space="preserve"> </w:t>
      </w:r>
      <w:r>
        <w:t xml:space="preserve">	</w:t>
      </w:r>
      <w:r>
        <w:t xml:space="preserve">Li J, Zhang P, Liu Y, Chen W, Yi X, Wang C.</w:t>
      </w:r>
      <w:r>
        <w:t xml:space="preserve"> </w:t>
      </w:r>
      <w:hyperlink r:id="rId43">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4"/>
    <w:bookmarkStart w:id="46"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5">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6"/>
    <w:bookmarkStart w:id="48"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7">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8"/>
    <w:bookmarkStart w:id="50"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9">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50"/>
    <w:bookmarkStart w:id="52"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51">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2"/>
    <w:bookmarkStart w:id="54"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3">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4"/>
    <w:bookmarkStart w:id="56"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5">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6"/>
    <w:bookmarkStart w:id="58"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7">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8"/>
    <w:bookmarkStart w:id="59"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9"/>
    <w:bookmarkStart w:id="60"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60"/>
    <w:bookmarkStart w:id="62" w:name="Xfbc06ab4e8a143dd15dec8dfd06cc82cc01ab3c"/>
    <w:p>
      <w:pPr>
        <w:pStyle w:val="Bibliography"/>
      </w:pPr>
      <w:r>
        <w:t xml:space="preserve">18.</w:t>
      </w:r>
      <w:r>
        <w:t xml:space="preserve"> </w:t>
      </w:r>
      <w:r>
        <w:t xml:space="preserve">	</w:t>
      </w:r>
      <w:r>
        <w:t xml:space="preserve">Kruschke JK.</w:t>
      </w:r>
      <w:r>
        <w:t xml:space="preserve"> </w:t>
      </w:r>
      <w:hyperlink r:id="rId6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2"/>
    <w:bookmarkStart w:id="64"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3">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4"/>
    <w:bookmarkStart w:id="66"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5">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6"/>
    <w:bookmarkStart w:id="68"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7">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8"/>
    <w:bookmarkStart w:id="70" w:name="X7a4c185c12dbffdfd1dae8f81a04f8589333b44"/>
    <w:p>
      <w:pPr>
        <w:pStyle w:val="Bibliography"/>
      </w:pPr>
      <w:r>
        <w:t xml:space="preserve">22.</w:t>
      </w:r>
      <w:r>
        <w:t xml:space="preserve"> </w:t>
      </w:r>
      <w:r>
        <w:t xml:space="preserve">	</w:t>
      </w:r>
      <w:r>
        <w:t xml:space="preserve">Neugebauer H, Creutzfeldt CJ, Hemphill JC, Heuschmann PU, Jüttler E.</w:t>
      </w:r>
      <w:r>
        <w:t xml:space="preserve"> </w:t>
      </w:r>
      <w:hyperlink r:id="rId69">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70"/>
    <w:bookmarkStart w:id="72" w:name="X891c4e92ab559843651bf648920cce7507bc2b7"/>
    <w:p>
      <w:pPr>
        <w:pStyle w:val="Bibliography"/>
      </w:pPr>
      <w:r>
        <w:t xml:space="preserve">23.</w:t>
      </w:r>
      <w:r>
        <w:t xml:space="preserve"> </w:t>
      </w:r>
      <w:r>
        <w:t xml:space="preserve">	</w:t>
      </w:r>
      <w:r>
        <w:t xml:space="preserve">Neugebauer H, Schnabl M, Lulé D, Heuschmann PU,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2"/>
    <w:bookmarkStart w:id="74" w:name="X43fe660b2331ec7445277f5239a44c6686e4cba"/>
    <w:p>
      <w:pPr>
        <w:pStyle w:val="Bibliography"/>
      </w:pPr>
      <w:r>
        <w:t xml:space="preserve">24.</w:t>
      </w:r>
      <w:r>
        <w:t xml:space="preserve"> </w:t>
      </w:r>
      <w:r>
        <w:t xml:space="preserve">	</w:t>
      </w:r>
      <w:r>
        <w:t xml:space="preserve">Neugebauer H, Malakou F, Uttner I, Köpke M, Jüttler E, IGNITE Study Group (Initiative of German NeuroIntensive Trial Engagement).</w:t>
      </w:r>
      <w:r>
        <w:t xml:space="preserve"> </w:t>
      </w:r>
      <w:hyperlink r:id="rId73">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4"/>
    <w:bookmarkStart w:id="76"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w:t>
      </w:r>
      <w:r>
        <w:t xml:space="preserve"> </w:t>
      </w:r>
      <w:hyperlink r:id="rId75">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6"/>
    <w:bookmarkStart w:id="78"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et al.</w:t>
      </w:r>
      <w:r>
        <w:t xml:space="preserve"> </w:t>
      </w:r>
      <w:hyperlink r:id="rId77">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8"/>
    <w:bookmarkStart w:id="80" w:name="X3c0ca5277cb27ba7098a1b20322a338d87eb9a8"/>
    <w:p>
      <w:pPr>
        <w:pStyle w:val="Bibliography"/>
      </w:pPr>
      <w:r>
        <w:t xml:space="preserve">27.</w:t>
      </w:r>
      <w:r>
        <w:t xml:space="preserve"> </w:t>
      </w:r>
      <w:r>
        <w:t xml:space="preserve">	</w:t>
      </w:r>
      <w:r>
        <w:t xml:space="preserve">Fink JN, Selim MH, Kumar S, Silver B, Linfante I, Caplan LR, Schlaug G.</w:t>
      </w:r>
      <w:r>
        <w:t xml:space="preserve"> </w:t>
      </w:r>
      <w:hyperlink r:id="rId79">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7"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7" Target="https://github.com/nikhilpatelmd/ich-latera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Patients with Left Hemispheric Intracerebral Hemorrhage are Less Likely to Receive Neurosurgical Intervention</dc:title>
  <dc:creator/>
  <cp:keywords/>
  <dcterms:created xsi:type="dcterms:W3CDTF">2026-04-20T17:15:31Z</dcterms:created>
  <dcterms:modified xsi:type="dcterms:W3CDTF">2026-04-20T17:15:31Z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stroke.csl</vt:lpwstr>
  </property>
  <property fmtid="{D5CDD505-2E9C-101B-9397-08002B2CF9AE}" pid="10" name="date">
    <vt:lpwstr>2026-04-20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ssage">
    <vt:lpwstr>False</vt:lpwstr>
  </property>
  <property fmtid="{D5CDD505-2E9C-101B-9397-08002B2CF9AE}" pid="17" name="subtitle">
    <vt:lpwstr>A Post Hoc Bayesian Analysis using data from ATACH-2 and ERICH</vt:lpwstr>
  </property>
  <property fmtid="{D5CDD505-2E9C-101B-9397-08002B2CF9AE}" pid="18" name="toc-title">
    <vt:lpwstr>Contents</vt:lpwstr>
  </property>
</Properties>
</file>