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df" ContentType="application/pdf"/>
  <Override PartName="/word/media/rId6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abstract"/>
    <w:p>
      <w:pPr>
        <w:pStyle w:val="Heading2"/>
      </w:pPr>
      <w:r>
        <w:t xml:space="preserve">Abstract</w:t>
      </w:r>
    </w:p>
    <w:p>
      <w:pPr>
        <w:pStyle w:val="FirstParagraph"/>
      </w:pPr>
      <w:r>
        <w:rPr>
          <w:b/>
          <w:bCs/>
        </w:rPr>
        <w:t xml:space="preserve">Background</w:t>
      </w:r>
      <w:r>
        <w:t xml:space="preserve">: Hemispheric laterality influences clinical management in stroke. Given the increasing enthusiasm for surgical management of intracerebral hemorrhage (ICH), we evaluated the association of hemispheric laterality with the likelihood of receiving neurosurgical intervention and subsequent 90-day functional outcomes.</w:t>
      </w:r>
    </w:p>
    <w:p>
      <w:pPr>
        <w:pStyle w:val="BodyText"/>
      </w:pPr>
      <w:r>
        <w:rPr>
          <w:b/>
          <w:bCs/>
        </w:rPr>
        <w:t xml:space="preserve">Methods</w:t>
      </w:r>
      <w:r>
        <w:t xml:space="preserve">: This post-hoc analysis included 3477 patients with supratentorial ICH from two prospective studies: the ATACH-2 trial, conducted at 110 sites in the United States, Japan, China, Taiwan, South Korea, and Germany (2011–2015), and the ERICH study, conducted across the United States (2010–2015). The primary outcome was neurosurgical intervention (hematoma evacuation, decompressive craniectomy, or other craniotomy). Secondary outcomes included external ventricular drain (EVD) placement, 90-day modified Rankin Score (mRS), and EuroQOL domains. Hierarchical Bayesian regression models estimating the association between ICH laterality and outcomes were adjusted for age, admission Glasgow Coma Scale, ICH location, ICH volume, and intraventricular hemorrhage.</w:t>
      </w:r>
    </w:p>
    <w:p>
      <w:pPr>
        <w:pStyle w:val="BodyText"/>
      </w:pPr>
      <w:r>
        <w:rPr>
          <w:b/>
          <w:bCs/>
        </w:rPr>
        <w:t xml:space="preserve">Results</w:t>
      </w:r>
      <w:r>
        <w:t xml:space="preserve">: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surgical intervention in left hemispheric ICH, there was no meaningful difference in 90-day functional outcomes in patients with left and right hemispheric ICH.</w:t>
      </w:r>
    </w:p>
    <w:p>
      <w:pPr>
        <w:pStyle w:val="BodyText"/>
      </w:pPr>
      <w:r>
        <w:rPr>
          <w:b/>
          <w:bCs/>
        </w:rPr>
        <w:t xml:space="preserve">Conclusions</w:t>
      </w:r>
      <w:r>
        <w:t xml:space="preserve">: Right hemispheric ICH is associated with a higher likelihood of neurosurgical intervention compared to left hemispheric ICH, though 90-day functional outcomes remain similar between groups. While these findings highlight a potential laterality-associated variation in neurosurgical intervention,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pPr>
      <w:r>
        <w:rPr>
          <w:b/>
          <w:bCs/>
        </w:rPr>
        <w:t xml:space="preserve">Trial Registration</w:t>
      </w:r>
      <w:r>
        <w:t xml:space="preserve">: Clinicaltrials.gov Identifier: ATACH-2, NCT01176565; ERICH, NCT01202864</w:t>
      </w:r>
    </w:p>
    <w:p>
      <w:r>
        <w:br w:type="page"/>
      </w:r>
    </w:p>
    <w:bookmarkEnd w:id="9"/>
    <w:bookmarkStart w:id="10"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perhaps surgical evacuation of hemorrhage.</w:t>
      </w:r>
      <w:r>
        <w:rPr>
          <w:vertAlign w:val="superscript"/>
        </w:rPr>
        <w:t xml:space="preserve">3–5</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provides evidence that those with right hemispheric injury present later to the hospital and may not be treated as frequently with thrombolytic therapy.</w:t>
      </w:r>
      <w:r>
        <w:rPr>
          <w:vertAlign w:val="superscript"/>
        </w:rPr>
        <w:t xml:space="preserve">6–9</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comparable for patients with left hemispheric injuries.</w:t>
      </w:r>
      <w:r>
        <w:rPr>
          <w:vertAlign w:val="superscript"/>
        </w:rPr>
        <w:t xml:space="preserve">10–13</w:t>
      </w:r>
    </w:p>
    <w:p>
      <w:pPr>
        <w:pStyle w:val="BodyText"/>
      </w:pPr>
      <w:r>
        <w:t xml:space="preserve">Amidst an increasing enthusiasm for surgical management of ICH</w:t>
      </w:r>
      <w:r>
        <w:rPr>
          <w:vertAlign w:val="superscript"/>
        </w:rPr>
        <w:t xml:space="preserve">3,4,14</w:t>
      </w:r>
      <w:r>
        <w:t xml:space="preserve">, it is important to understand whether hemispheric laterality is associated with differences in surgical decision making, as has been observed for ischemic stroke. We aimed to evaluate the association of hemispheric laterality of ICH with the likelihood of receiving neurosurgical intervention as well as with functional outcomes.</w:t>
      </w:r>
    </w:p>
    <w:bookmarkEnd w:id="10"/>
    <w:bookmarkStart w:id="20" w:name="methods"/>
    <w:p>
      <w:pPr>
        <w:pStyle w:val="Heading2"/>
      </w:pPr>
      <w:r>
        <w:t xml:space="preserve">Methods</w:t>
      </w:r>
    </w:p>
    <w:bookmarkStart w:id="1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from 2011-2015 and randomized them to either intensive blood pressure control (110-139 mm Hg) or standard blood pressure control (140-179 mm Hg). ERICH was a large, multicenter, prospective case-control study conducted in the United States on patients admitted with ICH from 2010-2015, with particular emphasis on recruitment of a racially and ethnically diverse cohort. Only ICH cases were included in the present analysis. The protocols and results of both studies have been previously published elsewhere</w:t>
      </w:r>
      <w:r>
        <w:rPr>
          <w:vertAlign w:val="superscript"/>
        </w:rPr>
        <w:t xml:space="preserve">15–17</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1"/>
    <w:bookmarkStart w:id="1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BodyText"/>
      </w:pPr>
      <w:r>
        <w:t xml:space="preserve">Our primary functional outcome was modified Rankin score (mRS) at 90 days analyzed via ordinal regression. We also examined quality of life as assessed by the European Quality of Life-5 dimensions (EQ-5D) questionnaire. In both studies, the mRS was obtained via a standardized, structured interview and the EQ-5D via a standardized questionnaire.</w:t>
      </w:r>
    </w:p>
    <w:bookmarkEnd w:id="12"/>
    <w:bookmarkStart w:id="17" w:name="statistical-analysis"/>
    <w:p>
      <w:pPr>
        <w:pStyle w:val="Heading3"/>
      </w:pPr>
      <w:r>
        <w:t xml:space="preserve">Statistical Analysis</w:t>
      </w:r>
    </w:p>
    <w:p>
      <w:pPr>
        <w:pStyle w:val="FirstParagraph"/>
      </w:pPr>
      <w:r>
        <w:t xml:space="preserve">Associations between hemispheric laterality and clinical outcomes were evaluated using hierarchical Bayesian regression models, adjusting for the covariates listed below with a random intercept applied to the enrolling study cohort.</w:t>
      </w:r>
    </w:p>
    <w:p>
      <w:pPr>
        <w:pStyle w:val="BodyText"/>
      </w:pPr>
      <w:r>
        <w:t xml:space="preserve">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18,19</w:t>
      </w:r>
      <w:r>
        <w:t xml:space="preserve"> </w:t>
      </w:r>
      <w:r>
        <w:t xml:space="preserve">This report adheres to the Bayesian Analysis Reporting and STROBE Guidelines.</w:t>
      </w:r>
      <w:r>
        <w:rPr>
          <w:vertAlign w:val="superscript"/>
        </w:rPr>
        <w:t xml:space="preserve">20,21</w:t>
      </w:r>
    </w:p>
    <w:p>
      <w:pPr>
        <w:pStyle w:val="BodyText"/>
      </w:pPr>
      <w: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pPr>
      <w:r>
        <w:t xml:space="preserve">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Supplemental Appendix.</w:t>
      </w:r>
    </w:p>
    <w:bookmarkStart w:id="13"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22–24</w:t>
      </w:r>
      <w:r>
        <w:t xml:space="preserve"> </w:t>
      </w:r>
      <w:r>
        <w:t xml:space="preserve">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23</w:t>
      </w:r>
      <w:r>
        <w:t xml:space="preserve"> </w:t>
      </w:r>
      <w:r>
        <w:t xml:space="preserve">The DAGs and further details of the covariate selection rationale are presented in the Supplemental Appendix.</w:t>
      </w:r>
    </w:p>
    <w:bookmarkEnd w:id="13"/>
    <w:bookmarkStart w:id="14" w:name="prior-distribution-specification"/>
    <w:p>
      <w:pPr>
        <w:pStyle w:val="Heading4"/>
      </w:pPr>
      <w:r>
        <w:t xml:space="preserve">Prior Distribution Specification</w:t>
      </w:r>
    </w:p>
    <w:p>
      <w:pPr>
        <w:pStyle w:val="FirstParagraph"/>
      </w:pPr>
      <w:r>
        <w:t xml:space="preserve">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log-incidence rate ratios, or log-mean differences.</w:t>
      </w:r>
    </w:p>
    <w:p>
      <w:pPr>
        <w:pStyle w:val="BodyText"/>
      </w:pPr>
      <w:r>
        <w:t xml:space="preserve">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Supplemental Appendix.</w:t>
      </w:r>
    </w:p>
    <w:bookmarkEnd w:id="14"/>
    <w:bookmarkStart w:id="15" w:name="Xa47fa65c2b7f49382486b74e1c4ed3022604078"/>
    <w:p>
      <w:pPr>
        <w:pStyle w:val="Heading4"/>
      </w:pPr>
      <w:r>
        <w:t xml:space="preserve">Computation and Description of the Posterior Distribution</w:t>
      </w:r>
    </w:p>
    <w:p>
      <w:pPr>
        <w:pStyle w:val="FirstParagraph"/>
      </w:pPr>
      <w:r>
        <w:t xml:space="preserve">For the effect of hemispheric laterality, we report the following metrics derived from</w:t>
      </w:r>
      <w:r>
        <w:t xml:space="preserve"> </w:t>
      </w:r>
      <w:r>
        <w:t xml:space="preserve">the marginalized posterior distributions: 1) the median posterior effect size with 95%</w:t>
      </w:r>
      <w:r>
        <w:t xml:space="preserve"> </w:t>
      </w:r>
      <w:r>
        <w:t xml:space="preserve">CrI; 2) the posterior probability that the effect estimate exceeded 1 (or, for the</w:t>
      </w:r>
      <w:r>
        <w:t xml:space="preserve"> </w:t>
      </w:r>
      <w:r>
        <w:t xml:space="preserve">EQ-VAS, fell below 0); 3) the posterior probability of a substantial difference, defined</w:t>
      </w:r>
      <w:r>
        <w:t xml:space="preserve"> </w:t>
      </w:r>
      <w:r>
        <w:t xml:space="preserve">a priori; and 4) the percentage of the posterior distribution falling within a predefined</w:t>
      </w:r>
      <w:r>
        <w:t xml:space="preserve"> </w:t>
      </w:r>
      <w:r>
        <w:t xml:space="preserve">region of practical equivalence (ROPE).</w:t>
      </w:r>
    </w:p>
    <w:p>
      <w:pPr>
        <w:pStyle w:val="BodyText"/>
      </w:pPr>
      <w:r>
        <w:t xml:space="preserve">Effect sizes are reported as marginal odds ratios (OR) for binary and ordinal models, marginal incidence rate ratios (IRR) for the count component of the zero-inflated negative binomial model, and average marginal expected mean differences on the original 0–100 scale for the EQ-VAS (derived via G-computation). We defined a substantial difference as an OR or IRR &gt; 1.2, or a mean difference exceeding 5 points for the EQ-VAS. In the context of invasive procedures such as decompressive craniectomy or hematoma evacuation, we posited that a 20% relative shift in treatment odds represents a minimum threshold that would meaningfully impact clinical and shared decision-making.</w:t>
      </w:r>
    </w:p>
    <w:p>
      <w:pPr>
        <w:pStyle w:val="BodyText"/>
      </w:pPr>
      <w:r>
        <w:t xml:space="preserve">The ROPE defines the range of effects we considered practically indistinguishable from no effect.</w:t>
      </w:r>
      <w:r>
        <w:rPr>
          <w:vertAlign w:val="superscript"/>
        </w:rPr>
        <w:t xml:space="preserve">20</w:t>
      </w:r>
      <w:r>
        <w:t xml:space="preserve"> </w:t>
      </w:r>
      <w:r>
        <w:t xml:space="preserve">For odds and incidence rate ratios we set this at 0.95 to 1.05, corresponding to a ±5% relative change in the odds or rate — a shift too small to plausibly alter triage, counseling, or shared decision-making. For the EQ-VAS we used ±2 points on the 0–100 scale, chosen to be conservatively narrow. Throughout the manuscript and supplement, ROPE values are reported as the percentage of the posterior distribution falling within the region of practical equivalence.</w:t>
      </w:r>
    </w:p>
    <w:bookmarkEnd w:id="15"/>
    <w:bookmarkStart w:id="16" w:name="Xb6b655a891224ddee9981b292c43eac49eeddc4"/>
    <w:p>
      <w:pPr>
        <w:pStyle w:val="Heading4"/>
      </w:pPr>
      <w:r>
        <w:t xml:space="preserve">Missing Data Treatment and Sensitivity Analyses</w:t>
      </w:r>
    </w:p>
    <w:p>
      <w:pPr>
        <w:pStyle w:val="FirstParagraph"/>
      </w:pPr>
      <w:r>
        <w:t xml:space="preserve">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Supplemental Appendix.</w:t>
      </w:r>
    </w:p>
    <w:p>
      <w:pPr>
        <w:pStyle w:val="BodyText"/>
      </w:pPr>
      <w:r>
        <w:t xml:space="preserve">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pPr>
      <w:r>
        <w:t xml:space="preserve">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p>
    <w:bookmarkEnd w:id="16"/>
    <w:bookmarkEnd w:id="17"/>
    <w:bookmarkStart w:id="1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Neurological Disorders and Stroke (NINDS). The datasets can be obtained after approval of a written proposal as outlined on the NINDS website. As outlined in the NINDS Data Request Agreement, the analysis code is publicly available at</w:t>
      </w:r>
      <w:r>
        <w:t xml:space="preserve"> </w:t>
      </w:r>
      <w:hyperlink r:id="rId18">
        <w:r>
          <w:rPr>
            <w:rStyle w:val="Hyperlink"/>
          </w:rPr>
          <w:t xml:space="preserve">https://github.com/nikhilpatelmd/ich-laterality</w:t>
        </w:r>
      </w:hyperlink>
      <w:r>
        <w:t xml:space="preserve">.</w:t>
      </w:r>
    </w:p>
    <w:bookmarkEnd w:id="19"/>
    <w:bookmarkEnd w:id="20"/>
    <w:bookmarkStart w:id="25" w:name="results"/>
    <w:p>
      <w:pPr>
        <w:pStyle w:val="Heading2"/>
      </w:pPr>
      <w:r>
        <w:t xml:space="preserve">Results</w:t>
      </w:r>
    </w:p>
    <w:bookmarkStart w:id="2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lower GCS scores and higher NIHSS scores as compared to those with right hemispheric ICH. There were 2487 (72%) patients in the cohort from ERICH and 990 (28%) from ATACH-2.</w:t>
      </w:r>
    </w:p>
    <w:bookmarkEnd w:id="21"/>
    <w:bookmarkStart w:id="2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Less than 0.1% of the posterior distribution fell within the ROPE.</w:t>
      </w:r>
    </w:p>
    <w:p>
      <w:pPr>
        <w:pStyle w:val="BodyText"/>
      </w:pPr>
      <w:r>
        <w:t xml:space="preserve">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11-13.</w:t>
      </w:r>
    </w:p>
    <w:p>
      <w:pPr>
        <w:pStyle w:val="BodyText"/>
      </w:pPr>
      <w:r>
        <w:t xml:space="preserve">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that the aOR exceeded 1 was 99%, the posterior probability of an aOR &gt; 1.2 was 94.7%, and 1.2% of the posterior distribution fell within the region of practical equivalence (Supplemental Table 19).</w:t>
      </w:r>
    </w:p>
    <w:bookmarkEnd w:id="22"/>
    <w:bookmarkStart w:id="23"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3"/>
    <w:bookmarkStart w:id="24"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2 displays the covariate-adjusted absolute marginal predicted probability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EQ-VAS,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pPr>
      <w:r>
        <w:t xml:space="preserve">Results from sensitivity analyses using alternative priors and complete case analysis are presented in Supplemental Tables 14-16, 18 and are directionally consistent with these results.</w:t>
      </w:r>
    </w:p>
    <w:bookmarkEnd w:id="24"/>
    <w:bookmarkEnd w:id="25"/>
    <w:bookmarkStart w:id="26"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although this was a more modest association. This finding was directionally consistent across ICH locations, study cohorts, and prior specifications, though incorporating a hospital-level random intercept to account for site-level clustering modestly attenuated the effect. Despite lower rates of surgical intervention in left hemispheric ICH, there was no meaningful difference in 90-day functional outcomes in patients with left and right hemispheric ICH. This finding aligns with previous literature in both ICH and ischemic stroke, where a clear association between hemispheric laterality and functional outcomes has often been difficult to establish.</w:t>
      </w:r>
      <w:r>
        <w:rPr>
          <w:vertAlign w:val="superscript"/>
        </w:rPr>
        <w:t xml:space="preserve">10,11,13,25,26</w:t>
      </w:r>
    </w:p>
    <w:p>
      <w:pPr>
        <w:pStyle w:val="BodyText"/>
      </w:pPr>
      <w:r>
        <w:t xml:space="preserve">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association in our cohort likely reflects a complex interplay of clinical triage, unmeasured anatomical severity, and shared decision-making rather than isolated treatment bias.</w:t>
      </w:r>
    </w:p>
    <w:p>
      <w:pPr>
        <w:pStyle w:val="BodyText"/>
      </w:pPr>
      <w:r>
        <w:t xml:space="preserve">One plausible explanation for this association involves language-related prognostic framing. Left-hemispheric ICH is frequently associated with aphasia, a deficit that clinicians, patients, and families historically weigh heavily when anticipating long-term quality of life.</w:t>
      </w:r>
      <w:r>
        <w:rPr>
          <w:vertAlign w:val="superscript"/>
        </w:rPr>
        <w:t xml:space="preserve">27–29</w:t>
      </w:r>
      <w:r>
        <w:t xml:space="preserve"> </w:t>
      </w:r>
      <w:r>
        <w:t xml:space="preserve">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pPr>
      <w:r>
        <w:t xml:space="preserve">This study has several important limitations. First, we lacked granular data on variables that shape surgical decision-making such as mass effect, degree of midline shift, hydrocephalus, and explicit family preferences. These unmeasured factors could independently influence both perceived surgical candidacy and functional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pPr>
      <w:r>
        <w:t xml:space="preserve">With recent randomized trials demonstrating the benefit of hematoma evacuation and decompressive craniectomy in appropriately selected ICH patients</w:t>
      </w:r>
      <w:r>
        <w:rPr>
          <w:vertAlign w:val="superscript"/>
        </w:rPr>
        <w:t xml:space="preserve">3,4</w:t>
      </w:r>
      <w:r>
        <w:t xml:space="preserve">,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p>
    <w:bookmarkEnd w:id="26"/>
    <w:bookmarkStart w:id="27" w:name="conclusions"/>
    <w:p>
      <w:pPr>
        <w:pStyle w:val="Heading2"/>
      </w:pPr>
      <w:r>
        <w:t xml:space="preserve">Conclusions</w:t>
      </w:r>
    </w:p>
    <w:p>
      <w:pPr>
        <w:pStyle w:val="FirstParagraph"/>
      </w:pPr>
      <w:r>
        <w:t xml:space="preserve">In this post-hoc observational analysis, right hemispheric ICH was associated with a higher likelihood of neurosurgical intervention compared to left hemispheric ICH. However, 90-day functional outcomes were similar across hemispheres. While these findings highlight a laterality-associated variation in neurosurgical intervention, residual confounding from unmeasured anatomical severity and family preferences cannot be excluded. Future prospective studies are needed to delineate the explicit clinical and prognostic drivers of surgical decision-making to optimize treatment allocation in ICH.</w:t>
      </w:r>
    </w:p>
    <w:p>
      <w:r>
        <w:br w:type="page"/>
      </w:r>
    </w:p>
    <w:bookmarkEnd w:id="27"/>
    <w:bookmarkStart w:id="28" w:name="acknowledgments"/>
    <w:p>
      <w:pPr>
        <w:pStyle w:val="Heading2"/>
      </w:pPr>
      <w:r>
        <w:t xml:space="preserve">Acknowledgments</w:t>
      </w:r>
    </w:p>
    <w:p>
      <w:pPr>
        <w:pStyle w:val="FirstParagraph"/>
      </w:pPr>
      <w:r>
        <w:rPr>
          <w:b/>
          <w:bCs/>
        </w:rPr>
        <w:t xml:space="preserve">Funding/support</w:t>
      </w:r>
      <w:r>
        <w:t xml:space="preserve">: The ATACH-2 clinical trial and ERICH prospective observational study were funded by the National Institute of Neurological Disorders and Stroke (NINDS).</w:t>
      </w:r>
    </w:p>
    <w:p>
      <w:pPr>
        <w:pStyle w:val="BodyText"/>
      </w:pPr>
      <w:r>
        <w:rPr>
          <w:b/>
          <w:bCs/>
        </w:rPr>
        <w:t xml:space="preserve">Role of the Funder/Sponsor</w:t>
      </w:r>
      <w:r>
        <w:t xml:space="preserve">: The study was supported in part by grant 5U01NS062091, NINDS and grant 5U01NS069763, NINDS. The sponsor had no role in the design and conduct of the current study.</w:t>
      </w:r>
    </w:p>
    <w:p>
      <w:pPr>
        <w:pStyle w:val="BodyText"/>
      </w:pPr>
      <w:r>
        <w:rPr>
          <w:b/>
          <w:bCs/>
        </w:rPr>
        <w:t xml:space="preserve">Conflict of Interest Disclosures</w:t>
      </w:r>
      <w:r>
        <w:t xml:space="preserve">: Dr. Asimos discloses being a consultant for iSchemaView, Inc. Dr. Karamchandani discloses receiving research funding from Genentech for the TNK-FLOW study. Dr. Magun discloses being a shareholder in Inovio Pharmaceuticals and StageZero Life Sciences.</w:t>
      </w:r>
    </w:p>
    <w:p>
      <w:pPr>
        <w:pStyle w:val="BodyText"/>
      </w:pPr>
      <w:r>
        <w:rPr>
          <w:b/>
          <w:bCs/>
        </w:rPr>
        <w:t xml:space="preserve">Use of artificial intelligence (AI)</w:t>
      </w:r>
      <w:r>
        <w:t xml:space="preserve">: Claude (Anthropic) and Gemini (Google) were used to review statistical modeling code and to assist in writing figure-generation code. The authors reviewed and verified all AI-assisted output and take full responsibility for the accuracy and integrity of the analysis.</w:t>
      </w:r>
    </w:p>
    <w:p>
      <w:pPr>
        <w:pStyle w:val="BodyText"/>
      </w:pPr>
      <w:r>
        <w:rPr>
          <w:b/>
          <w:bCs/>
        </w:rPr>
        <w:t xml:space="preserve">Additional Contributions</w:t>
      </w:r>
      <w:r>
        <w:t xml:space="preserve">: We thank all investigators for their efforts in conducting the ATACH-2 trial and ERICH study and thank all study participants for enrolling.</w:t>
      </w:r>
    </w:p>
    <w:p>
      <w:r>
        <w:br w:type="page"/>
      </w:r>
    </w:p>
    <w:bookmarkEnd w:id="28"/>
    <w:bookmarkStart w:id="59" w:name="references"/>
    <w:p>
      <w:pPr>
        <w:pStyle w:val="Heading2"/>
      </w:pPr>
      <w:r>
        <w:t xml:space="preserve">References</w:t>
      </w:r>
    </w:p>
    <w:bookmarkStart w:id="58" w:name="refs"/>
    <w:bookmarkStart w:id="29" w:name="ref-hemphillICHScoreSimple2001"/>
    <w:p>
      <w:pPr>
        <w:pStyle w:val="Bibliography"/>
      </w:pPr>
      <w:r>
        <w:t xml:space="preserve">1.</w:t>
      </w:r>
      <w:r>
        <w:t xml:space="preserve"> </w:t>
      </w:r>
      <w:r>
        <w:t xml:space="preserve">	</w:t>
      </w:r>
      <w:r>
        <w:t xml:space="preserve">Hemphill JC, Bonovich DC, Besmertis L, Manley GT, Johnston SC. The</w:t>
      </w:r>
      <w:r>
        <w:t xml:space="preserve"> </w:t>
      </w:r>
      <w:r>
        <w:t xml:space="preserve">ICH Score</w:t>
      </w:r>
      <w:r>
        <w:t xml:space="preserve">:</w:t>
      </w:r>
      <w:r>
        <w:t xml:space="preserve"> </w:t>
      </w:r>
      <w:r>
        <w:t xml:space="preserve">A Simple</w:t>
      </w:r>
      <w:r>
        <w:t xml:space="preserve">,</w:t>
      </w:r>
      <w:r>
        <w:t xml:space="preserve"> </w:t>
      </w:r>
      <w:r>
        <w:t xml:space="preserve">Reliable Grading Scale</w:t>
      </w:r>
      <w:r>
        <w:t xml:space="preserve"> </w:t>
      </w:r>
      <w:r>
        <w:t xml:space="preserve">for</w:t>
      </w:r>
      <w:r>
        <w:t xml:space="preserve"> </w:t>
      </w:r>
      <w:r>
        <w:t xml:space="preserve">Intracerebral Hemorrhage</w:t>
      </w:r>
      <w:r>
        <w:t xml:space="preserve">.</w:t>
      </w:r>
      <w:r>
        <w:t xml:space="preserve"> </w:t>
      </w:r>
      <w:r>
        <w:rPr>
          <w:i/>
          <w:iCs/>
        </w:rPr>
        <w:t xml:space="preserve">Stroke</w:t>
      </w:r>
      <w:r>
        <w:t xml:space="preserve">. 2001;32:891–897.</w:t>
      </w:r>
      <w:r>
        <w:t xml:space="preserve"> </w:t>
      </w:r>
    </w:p>
    <w:bookmarkEnd w:id="29"/>
    <w:bookmarkStart w:id="30" w:name="Xb1ab0250ddbe95fd4f2ad9af76384f9c74d3ea6"/>
    <w:p>
      <w:pPr>
        <w:pStyle w:val="Bibliography"/>
      </w:pPr>
      <w:r>
        <w:t xml:space="preserve">2.</w:t>
      </w:r>
      <w:r>
        <w:t xml:space="preserve"> </w:t>
      </w:r>
      <w:r>
        <w:t xml:space="preserve">	</w:t>
      </w:r>
      <w:r>
        <w:t xml:space="preserve">Sheth KN. Spontaneous</w:t>
      </w:r>
      <w:r>
        <w:t xml:space="preserve"> </w:t>
      </w:r>
      <w:r>
        <w:t xml:space="preserve">Intracerebral Hemorrhage</w:t>
      </w:r>
      <w:r>
        <w:t xml:space="preserve">.</w:t>
      </w:r>
      <w:r>
        <w:t xml:space="preserve"> </w:t>
      </w:r>
      <w:r>
        <w:rPr>
          <w:i/>
          <w:iCs/>
        </w:rPr>
        <w:t xml:space="preserve">N. Engl. J. Med.</w:t>
      </w:r>
      <w:r>
        <w:t xml:space="preserve"> 2022;387:1589–1596.</w:t>
      </w:r>
      <w:r>
        <w:t xml:space="preserve"> </w:t>
      </w:r>
    </w:p>
    <w:bookmarkEnd w:id="30"/>
    <w:bookmarkStart w:id="31"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 Trial of</w:t>
      </w:r>
      <w:r>
        <w:t xml:space="preserve"> </w:t>
      </w:r>
      <w:r>
        <w:t xml:space="preserve">Early Minimally Invasive Removal</w:t>
      </w:r>
      <w:r>
        <w:t xml:space="preserve"> </w:t>
      </w:r>
      <w:r>
        <w:t xml:space="preserve">of</w:t>
      </w:r>
      <w:r>
        <w:t xml:space="preserve"> </w:t>
      </w:r>
      <w:r>
        <w:t xml:space="preserve">Intracerebral Hemorrhage</w:t>
      </w:r>
      <w:r>
        <w:t xml:space="preserve">.</w:t>
      </w:r>
      <w:r>
        <w:t xml:space="preserve"> </w:t>
      </w:r>
      <w:r>
        <w:rPr>
          <w:i/>
          <w:iCs/>
        </w:rPr>
        <w:t xml:space="preserve">N. Engl. J. Med.</w:t>
      </w:r>
      <w:r>
        <w:t xml:space="preserve"> 2024;390:1277–1289.</w:t>
      </w:r>
      <w:r>
        <w:t xml:space="preserve"> </w:t>
      </w:r>
    </w:p>
    <w:bookmarkEnd w:id="31"/>
    <w:bookmarkStart w:id="32" w:name="ref-beckDecompressiveCraniectomyBest2024"/>
    <w:p>
      <w:pPr>
        <w:pStyle w:val="Bibliography"/>
      </w:pPr>
      <w:r>
        <w:t xml:space="preserve">4.</w:t>
      </w:r>
      <w:r>
        <w:t xml:space="preserve"> </w:t>
      </w:r>
      <w:r>
        <w:t xml:space="preserve">	</w:t>
      </w:r>
      <w:r>
        <w:t xml:space="preserve">Beck J, Fung C, Strbian D, Bütikofer L, Z’Graggen WJ, Lang MF, Beyeler S, Gralla J, Ringel F, Schaller K, et al. Decompressive craniectomy plus best medical treatment versus best medical treatment alone for spontaneous severe deep supratentorial intracerebral haemorrhage: A randomised controlled clinical trial.</w:t>
      </w:r>
      <w:r>
        <w:t xml:space="preserve"> </w:t>
      </w:r>
      <w:r>
        <w:rPr>
          <w:i/>
          <w:iCs/>
        </w:rPr>
        <w:t xml:space="preserve">The Lancet</w:t>
      </w:r>
      <w:r>
        <w:t xml:space="preserve">. 2024;403:2395–2404.</w:t>
      </w:r>
      <w:r>
        <w:t xml:space="preserve"> </w:t>
      </w:r>
    </w:p>
    <w:bookmarkEnd w:id="32"/>
    <w:bookmarkStart w:id="33" w:name="ref-greenberg2022GuidelineManagement2022"/>
    <w:p>
      <w:pPr>
        <w:pStyle w:val="Bibliography"/>
      </w:pPr>
      <w:r>
        <w:t xml:space="preserve">5.</w:t>
      </w:r>
      <w:r>
        <w:t xml:space="preserve"> </w:t>
      </w:r>
      <w:r>
        <w:t xml:space="preserve">	</w:t>
      </w:r>
      <w:r>
        <w:t xml:space="preserve">Greenberg SM, Ziai WC, Cordonnier C, Dowlatshahi D, Francis B, Goldstein JN, Hemphill JC, Johnson R, Keigher KM, Mack WJ, et al.</w:t>
      </w:r>
      <w:r>
        <w:t xml:space="preserve"> 2022</w:t>
      </w:r>
      <w:r>
        <w:t xml:space="preserve"> </w:t>
      </w:r>
      <w:r>
        <w:t xml:space="preserve">Guideline</w:t>
      </w:r>
      <w:r>
        <w:t xml:space="preserve"> </w:t>
      </w:r>
      <w:r>
        <w:t xml:space="preserve">for the</w:t>
      </w:r>
      <w:r>
        <w:t xml:space="preserve"> </w:t>
      </w:r>
      <w:r>
        <w:t xml:space="preserve">Management</w:t>
      </w:r>
      <w:r>
        <w:t xml:space="preserve"> </w:t>
      </w:r>
      <w:r>
        <w:t xml:space="preserve">of</w:t>
      </w:r>
      <w:r>
        <w:t xml:space="preserve"> </w:t>
      </w:r>
      <w:r>
        <w:t xml:space="preserve">Patients With Spontaneous Intracerebral Hemorrhage</w:t>
      </w:r>
      <w:r>
        <w:t xml:space="preserve">:</w:t>
      </w:r>
      <w:r>
        <w:t xml:space="preserve"> </w:t>
      </w:r>
      <w:r>
        <w:t xml:space="preserve">A Guideline From</w:t>
      </w:r>
      <w:r>
        <w:t xml:space="preserve"> </w:t>
      </w:r>
      <w:r>
        <w:t xml:space="preserve">the</w:t>
      </w:r>
      <w:r>
        <w:t xml:space="preserve"> </w:t>
      </w:r>
      <w:r>
        <w:t xml:space="preserve">American Heart Association</w:t>
      </w:r>
      <w:r>
        <w:t xml:space="preserve">/</w:t>
      </w:r>
      <w:r>
        <w:t xml:space="preserve">American Stroke Association</w:t>
      </w:r>
      <w:r>
        <w:t xml:space="preserve">.</w:t>
      </w:r>
      <w:r>
        <w:t xml:space="preserve"> </w:t>
      </w:r>
      <w:r>
        <w:rPr>
          <w:i/>
          <w:iCs/>
        </w:rPr>
        <w:t xml:space="preserve">Stroke</w:t>
      </w:r>
      <w:r>
        <w:t xml:space="preserve">. 2022;53:e282–e361.</w:t>
      </w:r>
      <w:r>
        <w:t xml:space="preserve"> </w:t>
      </w:r>
    </w:p>
    <w:bookmarkEnd w:id="33"/>
    <w:bookmarkStart w:id="34" w:name="ref-dileggeImpactLesionSide2005"/>
    <w:p>
      <w:pPr>
        <w:pStyle w:val="Bibliography"/>
      </w:pPr>
      <w:r>
        <w:t xml:space="preserve">6.</w:t>
      </w:r>
      <w:r>
        <w:t xml:space="preserve"> </w:t>
      </w:r>
      <w:r>
        <w:t xml:space="preserve">	</w:t>
      </w:r>
      <w:r>
        <w:t xml:space="preserve">Di Legge S, Fang J, Saposnik G, Hachinski V. The impact of lesion side on acute stroke treatment.</w:t>
      </w:r>
      <w:r>
        <w:t xml:space="preserve"> </w:t>
      </w:r>
      <w:r>
        <w:rPr>
          <w:i/>
          <w:iCs/>
        </w:rPr>
        <w:t xml:space="preserve">Neurology</w:t>
      </w:r>
      <w:r>
        <w:t xml:space="preserve">. 2005;65:81–86.</w:t>
      </w:r>
      <w:r>
        <w:t xml:space="preserve"> </w:t>
      </w:r>
    </w:p>
    <w:bookmarkEnd w:id="34"/>
    <w:bookmarkStart w:id="35" w:name="ref-foerchDifferenceRecognitionRight2005"/>
    <w:p>
      <w:pPr>
        <w:pStyle w:val="Bibliography"/>
      </w:pPr>
      <w:r>
        <w:t xml:space="preserve">7.</w:t>
      </w:r>
      <w:r>
        <w:t xml:space="preserve"> </w:t>
      </w:r>
      <w:r>
        <w:t xml:space="preserve">	</w:t>
      </w:r>
      <w:r>
        <w:t xml:space="preserve">Foerch C, Misselwitz B, Sitzer M, Berger K, Steinmetz H, Neumann-Haefelin T. Difference in recognition of right and left hemispheric stroke.</w:t>
      </w:r>
      <w:r>
        <w:t xml:space="preserve"> </w:t>
      </w:r>
      <w:r>
        <w:rPr>
          <w:i/>
          <w:iCs/>
        </w:rPr>
        <w:t xml:space="preserve">The Lancet</w:t>
      </w:r>
      <w:r>
        <w:t xml:space="preserve">. 2005;366:392–393.</w:t>
      </w:r>
      <w:r>
        <w:t xml:space="preserve"> </w:t>
      </w:r>
    </w:p>
    <w:bookmarkEnd w:id="35"/>
    <w:bookmarkStart w:id="36" w:name="ref-portegiesLeftsidedStrokesAre2015"/>
    <w:p>
      <w:pPr>
        <w:pStyle w:val="Bibliography"/>
      </w:pPr>
      <w:r>
        <w:t xml:space="preserve">8.</w:t>
      </w:r>
      <w:r>
        <w:t xml:space="preserve"> </w:t>
      </w:r>
      <w:r>
        <w:t xml:space="preserve">	</w:t>
      </w:r>
      <w:r>
        <w:t xml:space="preserve">Portegies MLP, Selwaness M, Hofman A, Koudstaal PJ, Vernooij MW, Ikram MA. Left-sided strokes are more often recognized than right-sided strokes: The</w:t>
      </w:r>
      <w:r>
        <w:t xml:space="preserve"> </w:t>
      </w:r>
      <w:r>
        <w:t xml:space="preserve">Rotterdam</w:t>
      </w:r>
      <w:r>
        <w:t xml:space="preserve"> </w:t>
      </w:r>
      <w:r>
        <w:t xml:space="preserve">study.</w:t>
      </w:r>
      <w:r>
        <w:t xml:space="preserve"> </w:t>
      </w:r>
      <w:r>
        <w:rPr>
          <w:i/>
          <w:iCs/>
        </w:rPr>
        <w:t xml:space="preserve">Stroke</w:t>
      </w:r>
      <w:r>
        <w:t xml:space="preserve">. 2015;46:252–254.</w:t>
      </w:r>
      <w:r>
        <w:t xml:space="preserve"> </w:t>
      </w:r>
    </w:p>
    <w:bookmarkEnd w:id="36"/>
    <w:bookmarkStart w:id="37" w:name="ref-liStrokeLateralizationLarge2021"/>
    <w:p>
      <w:pPr>
        <w:pStyle w:val="Bibliography"/>
      </w:pPr>
      <w:r>
        <w:t xml:space="preserve">9.</w:t>
      </w:r>
      <w:r>
        <w:t xml:space="preserve"> </w:t>
      </w:r>
      <w:r>
        <w:t xml:space="preserve">	</w:t>
      </w:r>
      <w:r>
        <w:t xml:space="preserve">Li J, Zhang P, Liu Y, Chen W, Yi X, Wang C. Stroke</w:t>
      </w:r>
      <w:r>
        <w:t xml:space="preserve"> </w:t>
      </w:r>
      <w:r>
        <w:t xml:space="preserve">Lateralization</w:t>
      </w:r>
      <w:r>
        <w:t xml:space="preserve"> </w:t>
      </w:r>
      <w:r>
        <w:t xml:space="preserve">in</w:t>
      </w:r>
      <w:r>
        <w:t xml:space="preserve"> </w:t>
      </w:r>
      <w:r>
        <w:t xml:space="preserve">Large Hemisphere Infarctions</w:t>
      </w:r>
      <w:r>
        <w:t xml:space="preserve">:</w:t>
      </w:r>
      <w:r>
        <w:t xml:space="preserve"> </w:t>
      </w:r>
      <w:r>
        <w:t xml:space="preserve">Characteristics</w:t>
      </w:r>
      <w:r>
        <w:t xml:space="preserve">,</w:t>
      </w:r>
      <w:r>
        <w:t xml:space="preserve"> </w:t>
      </w:r>
      <w:r>
        <w:t xml:space="preserve">Stroke-Related Complications</w:t>
      </w:r>
      <w:r>
        <w:t xml:space="preserve">, and</w:t>
      </w:r>
      <w:r>
        <w:t xml:space="preserve"> </w:t>
      </w:r>
      <w:r>
        <w:t xml:space="preserve">Outcomes</w:t>
      </w:r>
      <w:r>
        <w:t xml:space="preserve">.</w:t>
      </w:r>
      <w:r>
        <w:t xml:space="preserve"> </w:t>
      </w:r>
      <w:r>
        <w:rPr>
          <w:i/>
          <w:iCs/>
        </w:rPr>
        <w:t xml:space="preserve">Front. Neurol.</w:t>
      </w:r>
      <w:r>
        <w:t xml:space="preserve"> 2021;12:774247.</w:t>
      </w:r>
      <w:r>
        <w:t xml:space="preserve"> </w:t>
      </w:r>
    </w:p>
    <w:bookmarkEnd w:id="37"/>
    <w:bookmarkStart w:id="38" w:name="X838bc231b1872fcffc9183d1e0517a825b33557"/>
    <w:p>
      <w:pPr>
        <w:pStyle w:val="Bibliography"/>
      </w:pPr>
      <w:r>
        <w:t xml:space="preserve">10.</w:t>
      </w:r>
      <w:r>
        <w:t xml:space="preserve"> </w:t>
      </w:r>
      <w:r>
        <w:t xml:space="preserve">	</w:t>
      </w:r>
      <w:r>
        <w:t xml:space="preserve">Deb-Chatterji M, Flottmann F, Meyer L, Brekenfeld C, Fiehler J, Gerloff C, Thomalla G, the GSR-ET-Investigators, Gerloff C, Fiehler J, et al.</w:t>
      </w:r>
      <w:r>
        <w:t xml:space="preserve"> Side matters: Differences in functional outcome and quality of life after thrombectomy in left and right hemispheric stroke.</w:t>
      </w:r>
      <w:r>
        <w:t xml:space="preserve"> </w:t>
      </w:r>
      <w:r>
        <w:rPr>
          <w:i/>
          <w:iCs/>
        </w:rPr>
        <w:t xml:space="preserve">Neurol. Res. Pract.</w:t>
      </w:r>
      <w:r>
        <w:t xml:space="preserve"> 2022;4:58.</w:t>
      </w:r>
      <w:r>
        <w:t xml:space="preserve"> </w:t>
      </w:r>
    </w:p>
    <w:bookmarkEnd w:id="38"/>
    <w:bookmarkStart w:id="39" w:name="ref-leggeNeglectingDifference2006"/>
    <w:p>
      <w:pPr>
        <w:pStyle w:val="Bibliography"/>
      </w:pPr>
      <w:r>
        <w:t xml:space="preserve">11.</w:t>
      </w:r>
      <w:r>
        <w:t xml:space="preserve"> </w:t>
      </w:r>
      <w:r>
        <w:t xml:space="preserve">	</w:t>
      </w:r>
      <w:r>
        <w:t xml:space="preserve">Legge SD, Saposnik G, Nilanont Y, Hachinski V. Neglecting the</w:t>
      </w:r>
      <w:r>
        <w:t xml:space="preserve"> </w:t>
      </w:r>
      <w:r>
        <w:t xml:space="preserve">Difference</w:t>
      </w:r>
      <w:r>
        <w:t xml:space="preserve">.</w:t>
      </w:r>
      <w:r>
        <w:t xml:space="preserve"> </w:t>
      </w:r>
      <w:r>
        <w:rPr>
          <w:i/>
          <w:iCs/>
        </w:rPr>
        <w:t xml:space="preserve">Stroke</w:t>
      </w:r>
      <w:r>
        <w:t xml:space="preserve">. 2006;37:2066–2069.</w:t>
      </w:r>
      <w:r>
        <w:t xml:space="preserve"> </w:t>
      </w:r>
    </w:p>
    <w:bookmarkEnd w:id="39"/>
    <w:bookmarkStart w:id="40" w:name="X3c0b23a0f7bdee15362bbd61a2add3aa865ea88"/>
    <w:p>
      <w:pPr>
        <w:pStyle w:val="Bibliography"/>
      </w:pPr>
      <w:r>
        <w:t xml:space="preserve">12.</w:t>
      </w:r>
      <w:r>
        <w:t xml:space="preserve"> </w:t>
      </w:r>
      <w:r>
        <w:t xml:space="preserve">	</w:t>
      </w:r>
      <w:r>
        <w:t xml:space="preserve">Beuscher VD, Kuramatsu JB, Gerner ST, Köhn J, Lücking H, Kloska SP, Huttner HB. Functional</w:t>
      </w:r>
      <w:r>
        <w:t xml:space="preserve"> </w:t>
      </w:r>
      <w:r>
        <w:t xml:space="preserve">Long-Term Outcome</w:t>
      </w:r>
      <w:r>
        <w:t xml:space="preserve"> </w:t>
      </w:r>
      <w:r>
        <w:t xml:space="preserve">after</w:t>
      </w:r>
      <w:r>
        <w:t xml:space="preserve"> </w:t>
      </w:r>
      <w:r>
        <w:t xml:space="preserve">Left-</w:t>
      </w:r>
      <w:r>
        <w:t xml:space="preserve"> </w:t>
      </w:r>
      <w:r>
        <w:t xml:space="preserve">versus</w:t>
      </w:r>
      <w:r>
        <w:t xml:space="preserve"> </w:t>
      </w:r>
      <w:r>
        <w:t xml:space="preserve">Right-Sided Intracerebral Hemorrhage</w:t>
      </w:r>
      <w:r>
        <w:t xml:space="preserve">.</w:t>
      </w:r>
      <w:r>
        <w:t xml:space="preserve"> </w:t>
      </w:r>
      <w:r>
        <w:rPr>
          <w:i/>
          <w:iCs/>
        </w:rPr>
        <w:t xml:space="preserve">Cerebrovasc. Dis.</w:t>
      </w:r>
      <w:r>
        <w:t xml:space="preserve"> 2017;43:117–123.</w:t>
      </w:r>
      <w:r>
        <w:t xml:space="preserve"> </w:t>
      </w:r>
    </w:p>
    <w:bookmarkEnd w:id="40"/>
    <w:bookmarkStart w:id="41" w:name="ref-satoHigherMortalityPatients2015"/>
    <w:p>
      <w:pPr>
        <w:pStyle w:val="Bibliography"/>
      </w:pPr>
      <w:r>
        <w:t xml:space="preserve">13.</w:t>
      </w:r>
      <w:r>
        <w:t xml:space="preserve"> </w:t>
      </w:r>
      <w:r>
        <w:t xml:space="preserve">	</w:t>
      </w:r>
      <w:r>
        <w:t xml:space="preserve">Sato S, Heeley E, Arima H, Delcourt C, Hirakawa Y, Pamidimukkala V, Li Z, Tao Q, Xu Y, Hennerici MG, et al. Higher mortality in patients with right hemispheric intracerebral haemorrhage:</w:t>
      </w:r>
      <w:r>
        <w:t xml:space="preserve"> </w:t>
      </w:r>
      <w:r>
        <w:t xml:space="preserve">INTERACT1</w:t>
      </w:r>
      <w:r>
        <w:t xml:space="preserve"> </w:t>
      </w:r>
      <w:r>
        <w:t xml:space="preserve">and 2.</w:t>
      </w:r>
      <w:r>
        <w:t xml:space="preserve"> </w:t>
      </w:r>
      <w:r>
        <w:rPr>
          <w:i/>
          <w:iCs/>
        </w:rPr>
        <w:t xml:space="preserve">J. Neurol. Neurosurg. Psychiatry</w:t>
      </w:r>
      <w:r>
        <w:t xml:space="preserve">. 2015;86:1319–1323.</w:t>
      </w:r>
      <w:r>
        <w:t xml:space="preserve"> </w:t>
      </w:r>
    </w:p>
    <w:bookmarkEnd w:id="41"/>
    <w:bookmarkStart w:id="42" w:name="ref-bakoMinimallyInvasiveSurgery2023"/>
    <w:p>
      <w:pPr>
        <w:pStyle w:val="Bibliography"/>
      </w:pPr>
      <w:r>
        <w:t xml:space="preserve">14.</w:t>
      </w:r>
      <w:r>
        <w:t xml:space="preserve"> </w:t>
      </w:r>
      <w:r>
        <w:t xml:space="preserve">	</w:t>
      </w:r>
      <w:r>
        <w:t xml:space="preserve">Bako AT, Potter T, Pan AP, Tannous J, Britz G, Ziai WC, Awad I, Hanley D, Vahidy FS. Minimally</w:t>
      </w:r>
      <w:r>
        <w:t xml:space="preserve"> </w:t>
      </w:r>
      <w:r>
        <w:t xml:space="preserve">Invasive Surgery With Thrombolysis</w:t>
      </w:r>
      <w:r>
        <w:t xml:space="preserve"> </w:t>
      </w:r>
      <w:r>
        <w:t xml:space="preserve">for</w:t>
      </w:r>
      <w:r>
        <w:t xml:space="preserve"> </w:t>
      </w:r>
      <w:r>
        <w:t xml:space="preserve">Intracerebral Hemorrhage Evacuation</w:t>
      </w:r>
      <w:r>
        <w:t xml:space="preserve">.</w:t>
      </w:r>
      <w:r>
        <w:t xml:space="preserve"> </w:t>
      </w:r>
      <w:r>
        <w:rPr>
          <w:i/>
          <w:iCs/>
        </w:rPr>
        <w:t xml:space="preserve">Neurology</w:t>
      </w:r>
      <w:r>
        <w:t xml:space="preserve">. 2023;101:e1614–e1622.</w:t>
      </w:r>
      <w:r>
        <w:t xml:space="preserve"> </w:t>
      </w:r>
    </w:p>
    <w:bookmarkEnd w:id="42"/>
    <w:bookmarkStart w:id="43" w:name="Xdf1490986ecc40ffe04bf933d06d50b5e58e874"/>
    <w:p>
      <w:pPr>
        <w:pStyle w:val="Bibliography"/>
      </w:pPr>
      <w:r>
        <w:t xml:space="preserve">15.</w:t>
      </w:r>
      <w:r>
        <w:t xml:space="preserve"> </w:t>
      </w:r>
      <w:r>
        <w:t xml:space="preserve">	</w:t>
      </w:r>
      <w:r>
        <w:t xml:space="preserve">Qureshi AI, Palesch YY. Antihypertensive</w:t>
      </w:r>
      <w:r>
        <w:t xml:space="preserve"> </w:t>
      </w:r>
      <w:r>
        <w:t xml:space="preserve">Treatment</w:t>
      </w:r>
      <w:r>
        <w:t xml:space="preserve"> </w:t>
      </w:r>
      <w:r>
        <w:t xml:space="preserve">of</w:t>
      </w:r>
      <w:r>
        <w:t xml:space="preserve"> </w:t>
      </w:r>
      <w:r>
        <w:t xml:space="preserve">Acute Cerebral Hemorrhage</w:t>
      </w:r>
      <w:r>
        <w:t xml:space="preserve"> </w:t>
      </w:r>
      <w:r>
        <w:t xml:space="preserve">(</w:t>
      </w:r>
      <w:r>
        <w:t xml:space="preserve">ATACH</w:t>
      </w:r>
      <w:r>
        <w:t xml:space="preserve">)</w:t>
      </w:r>
      <w:r>
        <w:t xml:space="preserve"> </w:t>
      </w:r>
      <w:r>
        <w:t xml:space="preserve">II</w:t>
      </w:r>
      <w:r>
        <w:t xml:space="preserve">:</w:t>
      </w:r>
      <w:r>
        <w:t xml:space="preserve"> </w:t>
      </w:r>
      <w:r>
        <w:t xml:space="preserve">Design</w:t>
      </w:r>
      <w:r>
        <w:t xml:space="preserve">,</w:t>
      </w:r>
      <w:r>
        <w:t xml:space="preserve"> </w:t>
      </w:r>
      <w:r>
        <w:t xml:space="preserve">Methods</w:t>
      </w:r>
      <w:r>
        <w:t xml:space="preserve">, and</w:t>
      </w:r>
      <w:r>
        <w:t xml:space="preserve"> </w:t>
      </w:r>
      <w:r>
        <w:t xml:space="preserve">Rationale</w:t>
      </w:r>
      <w:r>
        <w:t xml:space="preserve">.</w:t>
      </w:r>
      <w:r>
        <w:t xml:space="preserve"> </w:t>
      </w:r>
      <w:r>
        <w:rPr>
          <w:i/>
          <w:iCs/>
        </w:rPr>
        <w:t xml:space="preserve">Neurocrit. Care</w:t>
      </w:r>
      <w:r>
        <w:t xml:space="preserve">. 2011;15:559–576.</w:t>
      </w:r>
      <w:r>
        <w:t xml:space="preserve"> </w:t>
      </w:r>
    </w:p>
    <w:bookmarkEnd w:id="43"/>
    <w:bookmarkStart w:id="44" w:name="Xe5698a0135fcc3ba325d1733a6b0d2457d0d2c6"/>
    <w:p>
      <w:pPr>
        <w:pStyle w:val="Bibliography"/>
      </w:pPr>
      <w:r>
        <w:t xml:space="preserve">16.</w:t>
      </w:r>
      <w:r>
        <w:t xml:space="preserve"> </w:t>
      </w:r>
      <w:r>
        <w:t xml:space="preserve">	</w:t>
      </w:r>
      <w:r>
        <w:t xml:space="preserve">Qureshi AI, Palesch YY, Barsan WG, Hanley DF, Hsu CY, Martin RL, Moy CS, Silbergleit R, Steiner T, Suarez JI, et al. Intensive</w:t>
      </w:r>
      <w:r>
        <w:t xml:space="preserve"> </w:t>
      </w:r>
      <w:r>
        <w:t xml:space="preserve">Blood-Pressure Lowering</w:t>
      </w:r>
      <w:r>
        <w:t xml:space="preserve"> </w:t>
      </w:r>
      <w:r>
        <w:t xml:space="preserve">in</w:t>
      </w:r>
      <w:r>
        <w:t xml:space="preserve"> </w:t>
      </w:r>
      <w:r>
        <w:t xml:space="preserve">Patients</w:t>
      </w:r>
      <w:r>
        <w:t xml:space="preserve"> </w:t>
      </w:r>
      <w:r>
        <w:t xml:space="preserve">with</w:t>
      </w:r>
      <w:r>
        <w:t xml:space="preserve"> </w:t>
      </w:r>
      <w:r>
        <w:t xml:space="preserve">Acute Cerebral Hemorrhage</w:t>
      </w:r>
      <w:r>
        <w:t xml:space="preserve">.</w:t>
      </w:r>
      <w:r>
        <w:t xml:space="preserve"> </w:t>
      </w:r>
      <w:r>
        <w:rPr>
          <w:i/>
          <w:iCs/>
        </w:rPr>
        <w:t xml:space="preserve">N. Engl. J. Med.</w:t>
      </w:r>
      <w:r>
        <w:t xml:space="preserve"> 2016;375:1033–1043.</w:t>
      </w:r>
      <w:r>
        <w:t xml:space="preserve"> </w:t>
      </w:r>
    </w:p>
    <w:bookmarkEnd w:id="44"/>
    <w:bookmarkStart w:id="45" w:name="ref-wooEthnicRacialVariations2013"/>
    <w:p>
      <w:pPr>
        <w:pStyle w:val="Bibliography"/>
      </w:pPr>
      <w:r>
        <w:t xml:space="preserve">17.</w:t>
      </w:r>
      <w:r>
        <w:t xml:space="preserve"> </w:t>
      </w:r>
      <w:r>
        <w:t xml:space="preserve">	</w:t>
      </w:r>
      <w:r>
        <w:t xml:space="preserve">Woo D, Rosand J, Kidwell C, McCauley JL, Osborne J, Brown MW, West SE, Rademacher EW, Waddy S, Roberts JN, et al. The</w:t>
      </w:r>
      <w:r>
        <w:t xml:space="preserve"> </w:t>
      </w:r>
      <w:r>
        <w:t xml:space="preserve">Ethnic</w:t>
      </w:r>
      <w:r>
        <w:t xml:space="preserve">/</w:t>
      </w:r>
      <w:r>
        <w:t xml:space="preserve">Racial Variations</w:t>
      </w:r>
      <w:r>
        <w:t xml:space="preserve"> </w:t>
      </w:r>
      <w:r>
        <w:t xml:space="preserve">of</w:t>
      </w:r>
      <w:r>
        <w:t xml:space="preserve"> </w:t>
      </w:r>
      <w:r>
        <w:t xml:space="preserve">Intracerebral Hemorrhage</w:t>
      </w:r>
      <w:r>
        <w:t xml:space="preserve"> </w:t>
      </w:r>
      <w:r>
        <w:t xml:space="preserve">(</w:t>
      </w:r>
      <w:r>
        <w:t xml:space="preserve">ERICH</w:t>
      </w:r>
      <w:r>
        <w:t xml:space="preserve">)</w:t>
      </w:r>
      <w:r>
        <w:t xml:space="preserve"> </w:t>
      </w:r>
      <w:r>
        <w:t xml:space="preserve">Study Protocol</w:t>
      </w:r>
      <w:r>
        <w:t xml:space="preserve">.</w:t>
      </w:r>
      <w:r>
        <w:t xml:space="preserve"> </w:t>
      </w:r>
      <w:r>
        <w:rPr>
          <w:i/>
          <w:iCs/>
        </w:rPr>
        <w:t xml:space="preserve">Stroke</w:t>
      </w:r>
      <w:r>
        <w:t xml:space="preserve">. 2013;44:e120–e125.</w:t>
      </w:r>
      <w:r>
        <w:t xml:space="preserve"> </w:t>
      </w:r>
    </w:p>
    <w:bookmarkEnd w:id="45"/>
    <w:bookmarkStart w:id="46" w:name="ref-dogucuBayesRulesIntroduction2022"/>
    <w:p>
      <w:pPr>
        <w:pStyle w:val="Bibliography"/>
      </w:pPr>
      <w:r>
        <w:t xml:space="preserve">18.</w:t>
      </w:r>
      <w:r>
        <w:t xml:space="preserve"> </w:t>
      </w:r>
      <w:r>
        <w:t xml:space="preserve">	</w:t>
      </w:r>
      <w:r>
        <w:t xml:space="preserve">Johnson AA, Ott MQ, Dogucu M.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 1st ed. CRC Press; 2022.</w:t>
      </w:r>
      <w:r>
        <w:t xml:space="preserve"> </w:t>
      </w:r>
    </w:p>
    <w:bookmarkEnd w:id="46"/>
    <w:bookmarkStart w:id="47" w:name="X7e5fcb01483c46ceec3804400aa01747d15580c"/>
    <w:p>
      <w:pPr>
        <w:pStyle w:val="Bibliography"/>
      </w:pPr>
      <w:r>
        <w:t xml:space="preserve">19.</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47"/>
    <w:bookmarkStart w:id="48" w:name="Xfbc06ab4e8a143dd15dec8dfd06cc82cc01ab3c"/>
    <w:p>
      <w:pPr>
        <w:pStyle w:val="Bibliography"/>
      </w:pPr>
      <w:r>
        <w:t xml:space="preserve">20.</w:t>
      </w:r>
      <w:r>
        <w:t xml:space="preserve"> </w:t>
      </w:r>
      <w:r>
        <w:t xml:space="preserve">	</w:t>
      </w:r>
      <w:r>
        <w:t xml:space="preserve">Kruschke JK. Bayesian</w:t>
      </w:r>
      <w:r>
        <w:t xml:space="preserve"> </w:t>
      </w:r>
      <w:r>
        <w:t xml:space="preserve">Analysis Reporting Guidelines</w:t>
      </w:r>
      <w:r>
        <w:t xml:space="preserve">.</w:t>
      </w:r>
      <w:r>
        <w:t xml:space="preserve"> </w:t>
      </w:r>
      <w:r>
        <w:rPr>
          <w:i/>
          <w:iCs/>
        </w:rPr>
        <w:t xml:space="preserve">Nat. Hum. Behav.</w:t>
      </w:r>
      <w:r>
        <w:t xml:space="preserve"> 2021;5:1282–1291.</w:t>
      </w:r>
      <w:r>
        <w:t xml:space="preserve"> </w:t>
      </w:r>
    </w:p>
    <w:bookmarkEnd w:id="48"/>
    <w:bookmarkStart w:id="49" w:name="X053f4f5eb0ba24b3cae539729fbebad36013145"/>
    <w:p>
      <w:pPr>
        <w:pStyle w:val="Bibliography"/>
      </w:pPr>
      <w:r>
        <w:t xml:space="preserve">21.</w:t>
      </w:r>
      <w:r>
        <w:t xml:space="preserve"> </w:t>
      </w:r>
      <w:r>
        <w:t xml:space="preserve">	</w:t>
      </w:r>
      <w:r>
        <w:t xml:space="preserve">Vandenbroucke JP, von Elm E, Altman DG, Gøtzsche PC, Mulrow CD, Pocock SJ, Poole C, Schlesselman JJ, Egger M, STROBE Initiative</w:t>
      </w:r>
      <w:r>
        <w:t xml:space="preserve">. Strengthening the</w:t>
      </w:r>
      <w:r>
        <w:t xml:space="preserve"> </w:t>
      </w:r>
      <w:r>
        <w:t xml:space="preserve">Reporting</w:t>
      </w:r>
      <w:r>
        <w:t xml:space="preserve"> </w:t>
      </w:r>
      <w:r>
        <w:t xml:space="preserve">of</w:t>
      </w:r>
      <w:r>
        <w:t xml:space="preserve"> </w:t>
      </w:r>
      <w:r>
        <w:t xml:space="preserve">Observational Studies</w:t>
      </w:r>
      <w:r>
        <w:t xml:space="preserve"> </w:t>
      </w:r>
      <w:r>
        <w:t xml:space="preserve">in</w:t>
      </w:r>
      <w:r>
        <w:t xml:space="preserve"> </w:t>
      </w:r>
      <w:r>
        <w:t xml:space="preserve">Epidemiology</w:t>
      </w:r>
      <w:r>
        <w:t xml:space="preserve"> </w:t>
      </w:r>
      <w:r>
        <w:t xml:space="preserve">(</w:t>
      </w:r>
      <w:r>
        <w:t xml:space="preserve">STROBE</w:t>
      </w:r>
      <w:r>
        <w:t xml:space="preserve">): Explanation and elaboration.</w:t>
      </w:r>
      <w:r>
        <w:t xml:space="preserve"> </w:t>
      </w:r>
      <w:r>
        <w:rPr>
          <w:i/>
          <w:iCs/>
        </w:rPr>
        <w:t xml:space="preserve">PLoS Med.</w:t>
      </w:r>
      <w:r>
        <w:t xml:space="preserve"> 2007;4:e297.</w:t>
      </w:r>
      <w:r>
        <w:t xml:space="preserve"> </w:t>
      </w:r>
    </w:p>
    <w:bookmarkEnd w:id="49"/>
    <w:bookmarkStart w:id="50" w:name="Xadd1365c52322e3ad3aed151084109b8ced3dcd"/>
    <w:p>
      <w:pPr>
        <w:pStyle w:val="Bibliography"/>
      </w:pPr>
      <w:r>
        <w:t xml:space="preserve">22.</w:t>
      </w:r>
      <w:r>
        <w:t xml:space="preserve"> </w:t>
      </w:r>
      <w:r>
        <w:t xml:space="preserve">	</w:t>
      </w:r>
      <w:r>
        <w:t xml:space="preserve">Debertin J, Jurado Vélez JA, Corlin L, Hidalgo B, Murray EJ. Synthesizing</w:t>
      </w:r>
      <w:r>
        <w:t xml:space="preserve"> </w:t>
      </w:r>
      <w:r>
        <w:t xml:space="preserve">Subject-matter Expertise</w:t>
      </w:r>
      <w:r>
        <w:t xml:space="preserve"> </w:t>
      </w:r>
      <w:r>
        <w:t xml:space="preserve">for</w:t>
      </w:r>
      <w:r>
        <w:t xml:space="preserve"> </w:t>
      </w:r>
      <w:r>
        <w:t xml:space="preserve">Variable Selection</w:t>
      </w:r>
      <w:r>
        <w:t xml:space="preserve"> </w:t>
      </w:r>
      <w:r>
        <w:t xml:space="preserve">in</w:t>
      </w:r>
      <w:r>
        <w:t xml:space="preserve"> </w:t>
      </w:r>
      <w:r>
        <w:t xml:space="preserve">Causal Effect Estimation</w:t>
      </w:r>
      <w:r>
        <w:t xml:space="preserve">:</w:t>
      </w:r>
      <w:r>
        <w:t xml:space="preserve"> </w:t>
      </w:r>
      <w:r>
        <w:t xml:space="preserve">A Case Study</w:t>
      </w:r>
      <w:r>
        <w:t xml:space="preserve">.</w:t>
      </w:r>
      <w:r>
        <w:t xml:space="preserve"> </w:t>
      </w:r>
      <w:r>
        <w:rPr>
          <w:i/>
          <w:iCs/>
        </w:rPr>
        <w:t xml:space="preserve">Epidemiology</w:t>
      </w:r>
      <w:r>
        <w:t xml:space="preserve">. 2024;35:642.</w:t>
      </w:r>
      <w:r>
        <w:t xml:space="preserve"> </w:t>
      </w:r>
    </w:p>
    <w:bookmarkEnd w:id="50"/>
    <w:bookmarkStart w:id="51" w:name="ref-tennantUseDirectedAcyclic2021"/>
    <w:p>
      <w:pPr>
        <w:pStyle w:val="Bibliography"/>
      </w:pPr>
      <w:r>
        <w:t xml:space="preserve">23.</w:t>
      </w:r>
      <w:r>
        <w:t xml:space="preserve"> </w:t>
      </w:r>
      <w:r>
        <w:t xml:space="preserve">	</w:t>
      </w:r>
      <w:r>
        <w:t xml:space="preserve">Tennant PWG, Murray EJ, Arnold KF, Berrie L, Fox MP, Gadd SC, Harrison WJ, Keeble C, Ranker LR, Textor J, et al. Use of directed acyclic graphs (</w:t>
      </w:r>
      <w:r>
        <w:t xml:space="preserve">DAGs</w:t>
      </w:r>
      <w:r>
        <w:t xml:space="preserve">) to identify confounders in applied health research: Review and recommendations.</w:t>
      </w:r>
      <w:r>
        <w:t xml:space="preserve"> </w:t>
      </w:r>
      <w:r>
        <w:rPr>
          <w:i/>
          <w:iCs/>
        </w:rPr>
        <w:t xml:space="preserve">Int. J. Epidemiol.</w:t>
      </w:r>
      <w:r>
        <w:t xml:space="preserve"> 2021;50:620–632.</w:t>
      </w:r>
      <w:r>
        <w:t xml:space="preserve"> </w:t>
      </w:r>
    </w:p>
    <w:bookmarkEnd w:id="51"/>
    <w:bookmarkStart w:id="52" w:name="ref-hernanSpecifyingTargetTrial2016"/>
    <w:p>
      <w:pPr>
        <w:pStyle w:val="Bibliography"/>
      </w:pPr>
      <w:r>
        <w:t xml:space="preserve">24.</w:t>
      </w:r>
      <w:r>
        <w:t xml:space="preserve"> </w:t>
      </w:r>
      <w:r>
        <w:t xml:space="preserve">	</w:t>
      </w:r>
      <w:r>
        <w:t xml:space="preserve">Hernán MA, Sauer BC, Hernández-Díaz S, Platt R, Shrier I. Specifying a target trial prevents immortal time bias and other self-inflicted injuries in observational analyses.</w:t>
      </w:r>
      <w:r>
        <w:t xml:space="preserve"> </w:t>
      </w:r>
      <w:r>
        <w:rPr>
          <w:i/>
          <w:iCs/>
        </w:rPr>
        <w:t xml:space="preserve">J. Clin. Epidemiol.</w:t>
      </w:r>
      <w:r>
        <w:t xml:space="preserve"> 2016;79:70–75.</w:t>
      </w:r>
      <w:r>
        <w:t xml:space="preserve"> </w:t>
      </w:r>
    </w:p>
    <w:bookmarkEnd w:id="52"/>
    <w:bookmarkStart w:id="53"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 Does hemispheric lateralization influence functional and cardiovascular outcomes after stroke?: An analysis of placebo-treated patients from prospective acute stroke trials.</w:t>
      </w:r>
      <w:r>
        <w:t xml:space="preserve"> </w:t>
      </w:r>
      <w:r>
        <w:rPr>
          <w:i/>
          <w:iCs/>
        </w:rPr>
        <w:t xml:space="preserve">Stroke</w:t>
      </w:r>
      <w:r>
        <w:t xml:space="preserve">. 2008;39:3335–3340.</w:t>
      </w:r>
      <w:r>
        <w:t xml:space="preserve"> </w:t>
      </w:r>
    </w:p>
    <w:bookmarkEnd w:id="53"/>
    <w:bookmarkStart w:id="54"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et al.</w:t>
      </w:r>
      <w:r>
        <w:t xml:space="preserve"> Stroke</w:t>
      </w:r>
      <w:r>
        <w:t xml:space="preserve"> </w:t>
      </w:r>
      <w:r>
        <w:t xml:space="preserve">Laterality Did Not Modify Outcomes</w:t>
      </w:r>
      <w:r>
        <w:t xml:space="preserve"> </w:t>
      </w:r>
      <w:r>
        <w:t xml:space="preserve">in the</w:t>
      </w:r>
      <w:r>
        <w:t xml:space="preserve"> </w:t>
      </w:r>
      <w:r>
        <w:t xml:space="preserve">HERMES Meta-Analysis</w:t>
      </w:r>
      <w:r>
        <w:t xml:space="preserve"> </w:t>
      </w:r>
      <w:r>
        <w:t xml:space="preserve">of</w:t>
      </w:r>
      <w:r>
        <w:t xml:space="preserve"> </w:t>
      </w:r>
      <w:r>
        <w:t xml:space="preserve">Individual Patient Data</w:t>
      </w:r>
      <w:r>
        <w:t xml:space="preserve"> </w:t>
      </w:r>
      <w:r>
        <w:t xml:space="preserve">of 7</w:t>
      </w:r>
      <w:r>
        <w:t xml:space="preserve"> </w:t>
      </w:r>
      <w:r>
        <w:t xml:space="preserve">Trials</w:t>
      </w:r>
      <w:r>
        <w:t xml:space="preserve">.</w:t>
      </w:r>
      <w:r>
        <w:t xml:space="preserve"> </w:t>
      </w:r>
      <w:r>
        <w:rPr>
          <w:i/>
          <w:iCs/>
        </w:rPr>
        <w:t xml:space="preserve">Stroke</w:t>
      </w:r>
      <w:r>
        <w:t xml:space="preserve">. 2019;50:2118–2124.</w:t>
      </w:r>
      <w:r>
        <w:t xml:space="preserve"> </w:t>
      </w:r>
    </w:p>
    <w:bookmarkEnd w:id="54"/>
    <w:bookmarkStart w:id="55" w:name="X7a4c185c12dbffdfd1dae8f81a04f8589333b44"/>
    <w:p>
      <w:pPr>
        <w:pStyle w:val="Bibliography"/>
      </w:pPr>
      <w:r>
        <w:t xml:space="preserve">27.</w:t>
      </w:r>
      <w:r>
        <w:t xml:space="preserve"> </w:t>
      </w:r>
      <w:r>
        <w:t xml:space="preserve">	</w:t>
      </w:r>
      <w:r>
        <w:t xml:space="preserve">Neugebauer H, Creutzfeldt CJ, Hemphill JC, Heuschmann PU, Jüttler E.</w:t>
      </w:r>
      <w:r>
        <w:t xml:space="preserve"> </w:t>
      </w:r>
      <w:r>
        <w:t xml:space="preserve">DESTINY-S</w:t>
      </w:r>
      <w:r>
        <w:t xml:space="preserve">:</w:t>
      </w:r>
      <w:r>
        <w:t xml:space="preserve"> </w:t>
      </w:r>
      <w:r>
        <w:t xml:space="preserve">Attitudes</w:t>
      </w:r>
      <w:r>
        <w:t xml:space="preserve"> </w:t>
      </w:r>
      <w:r>
        <w:t xml:space="preserve">of</w:t>
      </w:r>
      <w:r>
        <w:t xml:space="preserve"> </w:t>
      </w:r>
      <w:r>
        <w:t xml:space="preserve">Physicians Toward Disability</w:t>
      </w:r>
      <w:r>
        <w:t xml:space="preserve"> </w:t>
      </w:r>
      <w:r>
        <w:t xml:space="preserve">and</w:t>
      </w:r>
      <w:r>
        <w:t xml:space="preserve"> </w:t>
      </w:r>
      <w:r>
        <w:t xml:space="preserve">Treatment</w:t>
      </w:r>
      <w:r>
        <w:t xml:space="preserve"> </w:t>
      </w:r>
      <w:r>
        <w:t xml:space="preserve">in</w:t>
      </w:r>
      <w:r>
        <w:t xml:space="preserve"> </w:t>
      </w:r>
      <w:r>
        <w:t xml:space="preserve">Malignant MCA Infarction</w:t>
      </w:r>
      <w:r>
        <w:t xml:space="preserve">.</w:t>
      </w:r>
      <w:r>
        <w:t xml:space="preserve"> </w:t>
      </w:r>
      <w:r>
        <w:rPr>
          <w:i/>
          <w:iCs/>
        </w:rPr>
        <w:t xml:space="preserve">Neurocrit. Care</w:t>
      </w:r>
      <w:r>
        <w:t xml:space="preserve">. 2014;21:27–34.</w:t>
      </w:r>
      <w:r>
        <w:t xml:space="preserve"> </w:t>
      </w:r>
    </w:p>
    <w:bookmarkEnd w:id="55"/>
    <w:bookmarkStart w:id="56" w:name="X891c4e92ab559843651bf648920cce7507bc2b7"/>
    <w:p>
      <w:pPr>
        <w:pStyle w:val="Bibliography"/>
      </w:pPr>
      <w:r>
        <w:t xml:space="preserve">28.</w:t>
      </w:r>
      <w:r>
        <w:t xml:space="preserve"> </w:t>
      </w:r>
      <w:r>
        <w:t xml:space="preserve">	</w:t>
      </w:r>
      <w:r>
        <w:t xml:space="preserve">Neugebauer H, Schnabl M, Lulé D, Heuschmann PU, Jüttler E, IGNITE Study Group (Initiative of German NeuroIntensive Trial Engagement). Attitudes of</w:t>
      </w:r>
      <w:r>
        <w:t xml:space="preserve"> </w:t>
      </w:r>
      <w:r>
        <w:t xml:space="preserve">Patients</w:t>
      </w:r>
      <w:r>
        <w:t xml:space="preserve"> </w:t>
      </w:r>
      <w:r>
        <w:t xml:space="preserve">and</w:t>
      </w:r>
      <w:r>
        <w:t xml:space="preserve"> </w:t>
      </w:r>
      <w:r>
        <w:t xml:space="preserve">Relatives Toward Disability</w:t>
      </w:r>
      <w:r>
        <w:t xml:space="preserve"> </w:t>
      </w:r>
      <w:r>
        <w:t xml:space="preserve">and</w:t>
      </w:r>
      <w:r>
        <w:t xml:space="preserve"> </w:t>
      </w:r>
      <w:r>
        <w:t xml:space="preserve">Treatment</w:t>
      </w:r>
      <w:r>
        <w:t xml:space="preserve"> </w:t>
      </w:r>
      <w:r>
        <w:t xml:space="preserve">in</w:t>
      </w:r>
      <w:r>
        <w:t xml:space="preserve"> </w:t>
      </w:r>
      <w:r>
        <w:t xml:space="preserve">Malignant MCA Infarction</w:t>
      </w:r>
      <w:r>
        <w:t xml:space="preserve">.</w:t>
      </w:r>
      <w:r>
        <w:t xml:space="preserve"> </w:t>
      </w:r>
      <w:r>
        <w:rPr>
          <w:i/>
          <w:iCs/>
        </w:rPr>
        <w:t xml:space="preserve">Neurocrit. Care</w:t>
      </w:r>
      <w:r>
        <w:t xml:space="preserve">. 2017;26:311–318.</w:t>
      </w:r>
      <w:r>
        <w:t xml:space="preserve"> </w:t>
      </w:r>
    </w:p>
    <w:bookmarkEnd w:id="56"/>
    <w:bookmarkStart w:id="57" w:name="X43fe660b2331ec7445277f5239a44c6686e4cba"/>
    <w:p>
      <w:pPr>
        <w:pStyle w:val="Bibliography"/>
      </w:pPr>
      <w:r>
        <w:t xml:space="preserve">29.</w:t>
      </w:r>
      <w:r>
        <w:t xml:space="preserve"> </w:t>
      </w:r>
      <w:r>
        <w:t xml:space="preserve">	</w:t>
      </w:r>
      <w:r>
        <w:t xml:space="preserve">Neugebauer H, Malakou F, Uttner I, Köpke M, Jüttler E, IGNITE Study Group (Initiative of German NeuroIntensive Trial Engagement). Attitudes of</w:t>
      </w:r>
      <w:r>
        <w:t xml:space="preserve"> </w:t>
      </w:r>
      <w:r>
        <w:t xml:space="preserve">Nurses Toward Disability</w:t>
      </w:r>
      <w:r>
        <w:t xml:space="preserve"> </w:t>
      </w:r>
      <w:r>
        <w:t xml:space="preserve">and</w:t>
      </w:r>
      <w:r>
        <w:t xml:space="preserve"> </w:t>
      </w:r>
      <w:r>
        <w:t xml:space="preserve">Treatment</w:t>
      </w:r>
      <w:r>
        <w:t xml:space="preserve"> </w:t>
      </w:r>
      <w:r>
        <w:t xml:space="preserve">in</w:t>
      </w:r>
      <w:r>
        <w:t xml:space="preserve"> </w:t>
      </w:r>
      <w:r>
        <w:t xml:space="preserve">Space-Occupying Middle Cerebral Artery Stroke</w:t>
      </w:r>
      <w:r>
        <w:t xml:space="preserve">.</w:t>
      </w:r>
      <w:r>
        <w:t xml:space="preserve"> </w:t>
      </w:r>
      <w:r>
        <w:rPr>
          <w:i/>
          <w:iCs/>
        </w:rPr>
        <w:t xml:space="preserve">Neurocrit. Care</w:t>
      </w:r>
      <w:r>
        <w:t xml:space="preserve">. 2019;30:132–138.</w:t>
      </w:r>
      <w:r>
        <w:t xml:space="preserve"> </w:t>
      </w:r>
    </w:p>
    <w:bookmarkEnd w:id="57"/>
    <w:bookmarkEnd w:id="58"/>
    <w:p>
      <w:r>
        <w:br w:type="page"/>
      </w:r>
    </w:p>
    <w:bookmarkEnd w:id="59"/>
    <w:bookmarkStart w:id="6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0"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2"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62"/>
        </w:tc>
      </w:tr>
    </w:tbl>
    <w:p>
      <w:r>
        <w:br w:type="page"/>
      </w:r>
    </w:p>
    <w:bookmarkEnd w:id="63"/>
    <w:bookmarkStart w:id="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7" w:name="fig-1"/>
          <w:p>
            <w:pPr>
              <w:pStyle w:val="Compact"/>
              <w:jc w:val="center"/>
            </w:pPr>
            <w:r>
              <w:drawing>
                <wp:inline>
                  <wp:extent cx="5943600" cy="5943600"/>
                  <wp:effectExtent b="0" l="0" r="0" t="0"/>
                  <wp:docPr descr="" title="" id="65" name="Picture"/>
                  <a:graphic>
                    <a:graphicData uri="http://schemas.openxmlformats.org/drawingml/2006/picture">
                      <pic:pic>
                        <pic:nvPicPr>
                          <pic:cNvPr descr="../figures/figure_sensitivity_neurosurgery_evac.pdf"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2"/>
          <w:p>
            <w:pPr>
              <w:pStyle w:val="Compact"/>
              <w:jc w:val="center"/>
            </w:pPr>
            <w:r>
              <w:drawing>
                <wp:inline>
                  <wp:extent cx="5943600" cy="3820885"/>
                  <wp:effectExtent b="0" l="0" r="0" t="0"/>
                  <wp:docPr descr="" title="" id="69" name="Picture"/>
                  <a:graphic>
                    <a:graphicData uri="http://schemas.openxmlformats.org/drawingml/2006/picture">
                      <pic:pic>
                        <pic:nvPicPr>
                          <pic:cNvPr descr="../figures/mrs/figure_mrs_main_neutral_adjusted.pdf" id="70" name="Picture"/>
                          <pic:cNvPicPr>
                            <a:picLocks noChangeArrowheads="1" noChangeAspect="1"/>
                          </pic:cNvPicPr>
                        </pic:nvPicPr>
                        <pic:blipFill>
                          <a:blip r:embed="rId6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71"/>
        </w:tc>
      </w:tr>
    </w:tbl>
    <w:bookmarkEnd w:id="72"/>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Liberation Serif" w:cs="" w:cstheme="majorBidi" w:eastAsia="" w:eastAsiaTheme="majorEastAsia" w:hAnsi="Liberation Serif"/>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Liberation Serif" w:cs="" w:cstheme="majorBidi" w:eastAsia="" w:eastAsiaTheme="majorEastAsia" w:hAnsi="Liberation Serif"/>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Charactersuser" w:type="character">
    <w:name w:val="Footnote Characters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user" w:type="character">
    <w:name w:val="Endnote Characters (user)"/>
    <w:qFormat/>
    <w:rPr>
      <w:vertAlign w:val="superscript"/>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erif" w:cs="Nunito ExtraLight" w:eastAsia="Nunito ExtraLight" w:hAnsi="Liberation Serif"/>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Liberation Serif" w:cs="" w:cstheme="majorBidi" w:eastAsia="" w:eastAsiaTheme="majorEastAsia" w:hAnsi="Liberation Serif"/>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df" /><Relationship Type="http://schemas.openxmlformats.org/officeDocument/2006/relationships/image" Id="rId68" Target="media/rId68.pdf" /><Relationship Type="http://schemas.openxmlformats.org/officeDocument/2006/relationships/hyperlink" Id="rId1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2026-07-31T04:21:03Z</dcterms:created>
  <dcterms:modified xsi:type="dcterms:W3CDTF">2026-07-31T04:21:03Z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link-citations">
    <vt:lpwstr>False</vt:lpwstr>
  </property>
  <property fmtid="{D5CDD505-2E9C-101B-9397-08002B2CF9AE}" pid="15" name="message">
    <vt:lpwstr>False</vt:lpwstr>
  </property>
  <property fmtid="{D5CDD505-2E9C-101B-9397-08002B2CF9AE}" pid="16" name="toc-title">
    <vt:lpwstr>Contents</vt:lpwstr>
  </property>
</Properties>
</file>