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5.png" ContentType="image/png"/>
  <Override PartName="/word/media/rId39.png" ContentType="image/png"/>
  <Override PartName="/word/media/rId13.png" ContentType="image/png"/>
  <Override PartName="/word/media/rId9.png" ContentType="image/png"/>
  <Override PartName="/word/media/rId87.png" ContentType="image/png"/>
  <Override PartName="/word/media/rId95.png" ContentType="image/png"/>
  <Override PartName="/word/media/rId91.png" ContentType="image/png"/>
  <Override PartName="/word/media/rId119.png" ContentType="image/png"/>
  <Override PartName="/word/media/rId103.png" ContentType="image/png"/>
  <Override PartName="/word/media/rId115.png" ContentType="image/png"/>
  <Override PartName="/word/media/rId107.png" ContentType="image/png"/>
  <Override PartName="/word/media/rId111.png" ContentType="image/png"/>
  <Override PartName="/word/media/rId123.png" ContentType="image/png"/>
  <Override PartName="/word/media/rId75.png" ContentType="image/png"/>
  <Override PartName="/word/media/rId99.png" ContentType="image/png"/>
  <Override PartName="/word/media/rId71.png" ContentType="image/png"/>
  <Override PartName="/word/media/rId79.png" ContentType="image/png"/>
  <Override PartName="/word/media/rId83.png" ContentType="image/png"/>
  <Override PartName="/word/media/rId144.png" ContentType="image/png"/>
  <Override PartName="/word/media/rId152.png" ContentType="image/png"/>
  <Override PartName="/word/media/rId148.png" ContentType="image/png"/>
  <Override PartName="/word/media/rId176.png" ContentType="image/png"/>
  <Override PartName="/word/media/rId160.png" ContentType="image/png"/>
  <Override PartName="/word/media/rId172.png" ContentType="image/png"/>
  <Override PartName="/word/media/rId164.png" ContentType="image/png"/>
  <Override PartName="/word/media/rId168.png" ContentType="image/png"/>
  <Override PartName="/word/media/rId180.png" ContentType="image/png"/>
  <Override PartName="/word/media/rId132.png" ContentType="image/png"/>
  <Override PartName="/word/media/rId156.png" ContentType="image/png"/>
  <Override PartName="/word/media/rId128.png" ContentType="image/png"/>
  <Override PartName="/word/media/rId136.png" ContentType="image/png"/>
  <Override PartName="/word/media/rId140.png" ContentType="image/png"/>
  <Override PartName="/word/media/rId44.png" ContentType="image/png"/>
  <Override PartName="/word/media/rId54.png" ContentType="image/png"/>
  <Override PartName="/word/media/rId47.png" ContentType="image/png"/>
  <Override PartName="/word/media/rId57.png" ContentType="image/png"/>
  <Override PartName="/word/media/rId50.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Neurosurgery in ICH: A Post-Hoc Bayesian Analysis of ATACH-2 and ERICH</w:t>
      </w:r>
    </w:p>
    <w:bookmarkStart w:id="218" w:name="details-of-statistical-analysis"/>
    <w:p>
      <w:pPr>
        <w:pStyle w:val="Heading1"/>
      </w:pPr>
      <w:r>
        <w:t xml:space="preserve">Details of Statistical Analysis</w:t>
      </w:r>
    </w:p>
    <w:bookmarkStart w:id="17" w:name="covariate-selection"/>
    <w:p>
      <w:pPr>
        <w:pStyle w:val="Heading2"/>
      </w:pPr>
      <w:r>
        <w:t xml:space="preserve">Covariate Selection</w:t>
      </w:r>
    </w:p>
    <w:bookmarkStart w:id="12" w:name="primary-and-secondary-outcomes"/>
    <w:p>
      <w:pPr>
        <w:pStyle w:val="Heading3"/>
      </w:pPr>
      <w:r>
        <w:t xml:space="preserve">Primary and Secondary Outcomes</w:t>
      </w:r>
    </w:p>
    <w:p>
      <w:pPr>
        <w:pStyle w:val="FirstParagraph"/>
      </w:pPr>
      <w:r>
        <w:t xml:space="preserve">For our primary outcome model we specified the following DAG:</w:t>
      </w:r>
    </w:p>
    <w:p>
      <w:pPr>
        <w:pStyle w:val="BodyText"/>
      </w:pPr>
      <w:r>
        <w:drawing>
          <wp:inline>
            <wp:extent cx="5943600" cy="5943600"/>
            <wp:effectExtent b="0" l="0" r="0" t="0"/>
            <wp:docPr descr="" title="" id="10" name="Picture"/>
            <a:graphic>
              <a:graphicData uri="http://schemas.openxmlformats.org/drawingml/2006/picture">
                <pic:pic>
                  <pic:nvPicPr>
                    <pic:cNvPr descr="manuscript_supplement_files/figure-docx/neurosurgery-dag-1.png" id="11" name="Picture"/>
                    <pic:cNvPicPr>
                      <a:picLocks noChangeArrowheads="1" noChangeAspect="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For neurosurgical intervention and all acute care secondary outcomes, the target estimand was the total effect of hemispheric laterality — the overall causal effect of laterality on the outcome, encompassing all pathways through which it operates. To reduce bias from measured confounding, we adjusted for baseline variables that independently influence both the clinical presentation associated with hemispheric laterality and the likelihood of intervention: age, admission Glasgow Coma Scale (GCS) score, ICH location, baseline ICH volume, and presence of intraventricular hemorrhage (IVH). These covariates act as confounders in the causal structure and were included to block backdoor paths, not to decompose direct and indirect effects.</w:t>
      </w:r>
    </w:p>
    <w:p>
      <w:pPr>
        <w:pStyle w:val="BodyText"/>
      </w:pPr>
      <w:r>
        <w:t xml:space="preserve">We chose not to adjust for National Institutes of Health Stroke Scale (NIHSS) for 2 reasons: 1) it is strongly correlated with GCS as both represent quantitative representations of the neurological exam, and 2) NIHSS is partly determined by lateralized deficits such as aphasia and neglect.</w:t>
      </w:r>
    </w:p>
    <w:p>
      <w:pPr>
        <w:pStyle w:val="BodyText"/>
      </w:pPr>
      <w:r>
        <w:t xml:space="preserve">Data on midline shift, hydrocephalus, and eloquent-area involvement were not available for the analysis.</w:t>
      </w:r>
    </w:p>
    <w:bookmarkEnd w:id="12"/>
    <w:bookmarkStart w:id="16" w:name="functional-outcomes"/>
    <w:p>
      <w:pPr>
        <w:pStyle w:val="Heading3"/>
      </w:pPr>
      <w:r>
        <w:t xml:space="preserve">Functional Outcomes</w:t>
      </w:r>
    </w:p>
    <w:p>
      <w:pPr>
        <w:pStyle w:val="FirstParagraph"/>
      </w:pPr>
      <w:r>
        <w:t xml:space="preserve">We specified the following DAG when examining functional outcomes (e.g., modified Rankin scale and EuroQOL measures):</w:t>
      </w:r>
    </w:p>
    <w:p>
      <w:pPr>
        <w:pStyle w:val="BodyText"/>
      </w:pPr>
      <w:r>
        <w:drawing>
          <wp:inline>
            <wp:extent cx="5943600" cy="5403272"/>
            <wp:effectExtent b="0" l="0" r="0" t="0"/>
            <wp:docPr descr="" title="" id="14" name="Picture"/>
            <a:graphic>
              <a:graphicData uri="http://schemas.openxmlformats.org/drawingml/2006/picture">
                <pic:pic>
                  <pic:nvPicPr>
                    <pic:cNvPr descr="manuscript_supplement_files/figure-docx/functional-outcome-dag-1.png" id="15" name="Picture"/>
                    <pic:cNvPicPr>
                      <a:picLocks noChangeArrowheads="1" noChangeAspect="1"/>
                    </pic:cNvPicPr>
                  </pic:nvPicPr>
                  <pic:blipFill>
                    <a:blip r:embed="rId13"/>
                    <a:stretch>
                      <a:fillRect/>
                    </a:stretch>
                  </pic:blipFill>
                  <pic:spPr bwMode="auto">
                    <a:xfrm>
                      <a:off x="0" y="0"/>
                      <a:ext cx="5943600" cy="5403272"/>
                    </a:xfrm>
                    <a:prstGeom prst="rect">
                      <a:avLst/>
                    </a:prstGeom>
                    <a:noFill/>
                    <a:ln w="9525">
                      <a:noFill/>
                      <a:headEnd/>
                      <a:tailEnd/>
                    </a:ln>
                  </pic:spPr>
                </pic:pic>
              </a:graphicData>
            </a:graphic>
          </wp:inline>
        </w:drawing>
      </w:r>
    </w:p>
    <w:p>
      <w:pPr>
        <w:pStyle w:val="BodyText"/>
      </w:pPr>
      <w:r>
        <w:t xml:space="preserve">For functional outcomes, the target estimand was likewise the total effect of hemispheric laterality on 90-day modified Rankin Scale (mRS) and EuroQOL scores. This total effect encompasses all causal pathways from laterality to functional outcome, including those mediated through neurosurgical intervention, withdrawal of life-sustaining therapy, and participation in rehabilitation. These downstream treatment pathways are intrinsic to the clinical significance of hemispheric laterality and should not be blocked by conditioning on post-baseline treatment variables.</w:t>
      </w:r>
    </w:p>
    <w:p>
      <w:pPr>
        <w:pStyle w:val="BodyText"/>
      </w:pPr>
      <w:r>
        <w:t xml:space="preserve">Conditioning on neurosurgical intervention — a mediator on the causal pathway from laterality to functional outcome — would partially block this clinically relevant pathway and could introduce collider stratification bias by opening non-causal associations between laterality and outcome within strata of the mediator. Valid estimation of a controlled direct effect (i.e., the effect of laterality holding surgical management constant) would additionally require adjustment for all confounders of the mediator–outcome relationship, some of which may themselves be affected by the exposure, creating intermediate confounding that cannot be resolved through standard regression adjustment. Accordingly, functional outcome models were adjusted for age, admission GCS score, ICH location, baseline ICH volume, and presence of IVH, but did not include neurosurgical intervention or other post-baseline treatment variables as covariates.</w:t>
      </w:r>
      <w:r>
        <w:rPr>
          <w:vertAlign w:val="superscript"/>
        </w:rPr>
        <w:t xml:space="preserve">1</w:t>
      </w:r>
    </w:p>
    <w:bookmarkEnd w:id="16"/>
    <w:bookmarkEnd w:id="17"/>
    <w:bookmarkStart w:id="32" w:name="priors"/>
    <w:p>
      <w:pPr>
        <w:pStyle w:val="Heading2"/>
      </w:pPr>
      <w:r>
        <w:t xml:space="preserve">Priors</w:t>
      </w:r>
    </w:p>
    <w:bookmarkStart w:id="18" w:name="prior-distribution-definitions"/>
    <w:p>
      <w:pPr>
        <w:pStyle w:val="Heading3"/>
      </w:pPr>
      <w:r>
        <w:t xml:space="preserve">Prior Distribution Definitions</w:t>
      </w:r>
    </w:p>
    <w:p>
      <w:pPr>
        <w:pStyle w:val="FirstParagraph"/>
      </w:pPr>
      <w:r>
        <w:t xml:space="preserve">In defining prior distributions, we followed established recommendations for Bayesian modeling in critical care and clinical research.</w:t>
      </w:r>
      <w:r>
        <w:rPr>
          <w:vertAlign w:val="superscript"/>
        </w:rPr>
        <w:t xml:space="preserve">2–4</w:t>
      </w:r>
      <w:r>
        <w:t xml:space="preserve"> </w:t>
      </w:r>
      <w:r>
        <w:t xml:space="preserve">We defined four sets of prior distributions for the hemispheric laterality coefficient (i.e., the log-odds or log-incidence rate ratio assigned to right versus left hemisphere ICH) across all outcomes. Because the models include multiple covariates and a random study intercept, the priors describe the conditional laterality effect. The implications of these priors at the data level are characterized empirically through prior predictive checks, reported below.</w:t>
      </w:r>
    </w:p>
    <w:p>
      <w:pPr>
        <w:numPr>
          <w:ilvl w:val="0"/>
          <w:numId w:val="1001"/>
        </w:numPr>
      </w:pPr>
      <w:r>
        <w:rPr>
          <w:b/>
          <w:bCs/>
        </w:rPr>
        <w:t xml:space="preserve">Neutral prior:</w:t>
      </w:r>
      <w:r>
        <w:t xml:space="preserve"> </w:t>
      </w:r>
      <w:r>
        <w:t xml:space="preserve">A weakly informative prior representing the null hypothesis of no laterality effect. The coefficient is assigned a Normal(0, 0.5) distribution. This places the expected conditional OR at 1, with 95% of the prior probability mass between 0.38 and 2.66.</w:t>
      </w:r>
    </w:p>
    <w:p>
      <w:pPr>
        <w:numPr>
          <w:ilvl w:val="0"/>
          <w:numId w:val="1001"/>
        </w:numPr>
      </w:pPr>
      <w:r>
        <w:rPr>
          <w:b/>
          <w:bCs/>
        </w:rPr>
        <w:t xml:space="preserve">Left hemisphere prior:</w:t>
      </w:r>
      <w:r>
        <w:t xml:space="preserve"> </w:t>
      </w:r>
      <w:r>
        <w:t xml:space="preserve">An informative prior assuming outcomes are more likely following left hemisphere ICH. A Normal(-0.22, 0.175) distribution is placed on the</w:t>
      </w:r>
      <w:r>
        <w:t xml:space="preserve"> </w:t>
      </w:r>
      <w:r>
        <w:rPr>
          <w:rStyle w:val="VerbatimChar"/>
        </w:rPr>
        <w:t xml:space="preserve">ich_lateralityRight</w:t>
      </w:r>
      <w:r>
        <w:t xml:space="preserve"> </w:t>
      </w:r>
      <w:r>
        <w:t xml:space="preserve">coefficient. This corresponds to an expected conditional OR of 0.8 (95% prior probability mass: 0.57 to 1.13).</w:t>
      </w:r>
    </w:p>
    <w:p>
      <w:pPr>
        <w:numPr>
          <w:ilvl w:val="0"/>
          <w:numId w:val="1001"/>
        </w:numPr>
      </w:pPr>
      <w:r>
        <w:rPr>
          <w:b/>
          <w:bCs/>
        </w:rPr>
        <w:t xml:space="preserve">Right hemisphere prior:</w:t>
      </w:r>
      <w:r>
        <w:t xml:space="preserve"> </w:t>
      </w:r>
      <w:r>
        <w:t xml:space="preserve">An informative prior assuming outcomes are more likely following right hemisphere ICH. A Normal(0.18, 0.175) distribution is placed on the</w:t>
      </w:r>
      <w:r>
        <w:t xml:space="preserve"> </w:t>
      </w:r>
      <w:r>
        <w:rPr>
          <w:rStyle w:val="VerbatimChar"/>
        </w:rPr>
        <w:t xml:space="preserve">ich_lateralityRight</w:t>
      </w:r>
      <w:r>
        <w:t xml:space="preserve"> </w:t>
      </w:r>
      <w:r>
        <w:t xml:space="preserve">coefficient. This corresponds to an expected conditional OR of 1.2 (95% prior probability mass: 0.85 to 1.69).</w:t>
      </w:r>
    </w:p>
    <w:p>
      <w:pPr>
        <w:numPr>
          <w:ilvl w:val="0"/>
          <w:numId w:val="1001"/>
        </w:numPr>
      </w:pPr>
      <w:r>
        <w:rPr>
          <w:b/>
          <w:bCs/>
        </w:rPr>
        <w:t xml:space="preserve">Diffuse prior:</w:t>
      </w:r>
      <w:r>
        <w:t xml:space="preserve"> </w:t>
      </w:r>
      <w:r>
        <w:t xml:space="preserve">A vague prior intended to provide minimal information to the posterior. The coefficient is assigned a Normal(0, 5) distribution, corresponding to a conditional OR of 1 (95% prior probability mass: 0 to 1.803374</w:t>
      </w:r>
      <w:r>
        <w:t xml:space="preserve">^{4}). An exception applies to the zero-inflated negative binomial model (days of mechanical ventilation), where the diffuse prior standard deviation was restricted to 2 on the log scale to prevent prior predictive counts outside of plausible clinical ranges.</w:t>
      </w:r>
    </w:p>
    <w:bookmarkEnd w:id="18"/>
    <w:bookmarkStart w:id="31" w:name="prior-predictive-checks"/>
    <w:p>
      <w:pPr>
        <w:pStyle w:val="Heading3"/>
      </w:pPr>
      <w:r>
        <w:t xml:space="preserve">Prior Predictive Checks</w:t>
      </w:r>
    </w:p>
    <w:p>
      <w:pPr>
        <w:pStyle w:val="FirstParagraph"/>
      </w:pPr>
      <w:r>
        <w:t xml:space="preserve">Prior predictive checks were performed to understand the implications of the prior distributions before analyzing the data and ensuring the prior distributions represented plausible information regarding each outcome.</w:t>
      </w:r>
    </w:p>
    <w:bookmarkStart w:id="21" w:name="neutral-prior"/>
    <w:p>
      <w:pPr>
        <w:pStyle w:val="Heading4"/>
      </w:pPr>
      <w:r>
        <w:t xml:space="preserve">Neutral Prior</w:t>
      </w:r>
    </w:p>
    <w:tbl>
      <w:tblPr>
        <w:tblStyle w:val="Table"/>
        <w:tblW w:type="pct" w:w="5000"/>
        <w:tblLayout w:type="fixed"/>
        <w:tblLook w:firstRow="0" w:lastRow="0" w:firstColumn="0" w:lastColumn="0" w:noHBand="0" w:noVBand="0" w:val="0000"/>
      </w:tblPr>
      <w:tblGrid>
        <w:gridCol w:w="7920"/>
      </w:tblGrid>
      <w:tr>
        <w:tc>
          <w:tcPr/>
          <w:bookmarkStart w:id="19" w:name="tbl-2-neutral-prior-check"/>
          <w:p>
            <w:pPr>
              <w:jc w:val="center"/>
            </w:pPr>
            <w:pPr>
              <w:jc w:val="left"/>
              <w:spacing w:before="200"/>
              <w:pStyle w:val="ImageCaption"/>
            </w:pPr>
            <w:r>
              <w:t xml:space="preserve">Table 1: Prior predictive check results for neutral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20.9% (1.8 - 86.1%)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22.0% (2.4 - 85.3%)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(0.68 - 1.49)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(3 - 36.7)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(3.1 - 36.3)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(0.91 - 1.08)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(0.0 - 25.0%)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(0.49 - 1.72)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19"/>
        </w:tc>
      </w:tr>
    </w:tbl>
    <w:tbl>
      <w:tblPr>
        <w:tblStyle w:val="Table"/>
        <w:tblW w:type="pct" w:w="5000"/>
        <w:tblLayout w:type="fixed"/>
        <w:tblLook w:firstRow="0" w:lastRow="0" w:firstColumn="0" w:lastColumn="0" w:noHBand="0" w:noVBand="0" w:val="0000"/>
      </w:tblPr>
      <w:tblGrid>
        <w:gridCol w:w="7920"/>
      </w:tblGrid>
      <w:tr>
        <w:tc>
          <w:tcPr/>
          <w:bookmarkStart w:id="20" w:name="tbl-3-neutral-prior-check"/>
          <w:p>
            <w:pPr>
              <w:jc w:val="center"/>
            </w:pPr>
            <w:pPr>
              <w:jc w:val="left"/>
              <w:spacing w:before="200"/>
              <w:pStyle w:val="ImageCaption"/>
            </w:pPr>
            <w:r>
              <w:t xml:space="preserve">Table 2: Prior predictive check results for neutral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(-25.8 - 24.0)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EQ-VAS. ROPE indicates region of practical equivalence (0.95 to 1.05 for aOR; ± 2 points for EQ-VAS).</w:t>
                  </w:r>
                </w:p>
              </w:tc>
            </w:tr>
          </w:tbl>
          <w:bookmarkEnd w:id="20"/>
        </w:tc>
      </w:tr>
    </w:tbl>
    <w:bookmarkEnd w:id="21"/>
    <w:bookmarkStart w:id="24" w:name="left-hemisphere-prior"/>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 w:name="tbl-2-left-prior-check"/>
          <w:p>
            <w:pPr>
              <w:jc w:val="center"/>
            </w:pPr>
            <w:pPr>
              <w:jc w:val="left"/>
              <w:spacing w:before="200"/>
              <w:pStyle w:val="ImageCaption"/>
            </w:pPr>
            <w:r>
              <w:t xml:space="preserve">Table 3: Prior predictive check results for left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(1.7 - 56.6%)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(2.1 - 51.9%)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(0.78 - 1.14)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(0.9 - 8.3)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(0.7 - 6.5)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0.83 (0.62 - 1.11)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(0.0 - 51.6%)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(0.0 - 48.2%)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(0.69 - 1.04)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2"/>
        </w:tc>
      </w:tr>
    </w:tbl>
    <w:tbl>
      <w:tblPr>
        <w:tblStyle w:val="Table"/>
        <w:tblW w:type="pct" w:w="5000"/>
        <w:tblLayout w:type="fixed"/>
        <w:tblLook w:firstRow="0" w:lastRow="0" w:firstColumn="0" w:lastColumn="0" w:noHBand="0" w:noVBand="0" w:val="0000"/>
      </w:tblPr>
      <w:tblGrid>
        <w:gridCol w:w="7920"/>
      </w:tblGrid>
      <w:tr>
        <w:tc>
          <w:tcPr/>
          <w:bookmarkStart w:id="23" w:name="tbl-3-left-prior-check"/>
          <w:p>
            <w:pPr>
              <w:jc w:val="center"/>
            </w:pPr>
            <w:pPr>
              <w:jc w:val="left"/>
              <w:spacing w:before="200"/>
              <w:pStyle w:val="ImageCaption"/>
            </w:pPr>
            <w:r>
              <w:t xml:space="preserve">Table 4: Prior predictive check results for left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(0.85 - 1.16)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(-20.2 - 14.8)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EQ-VAS. ROPE indicates region of practical equivalence (0.95 to 1.05 for aOR; ± 2 points for EQ-VAS).</w:t>
                  </w:r>
                </w:p>
              </w:tc>
            </w:tr>
          </w:tbl>
          <w:bookmarkEnd w:id="23"/>
        </w:tc>
      </w:tr>
    </w:tbl>
    <w:bookmarkEnd w:id="24"/>
    <w:bookmarkStart w:id="27" w:name="right-hemisphere-prior"/>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5" w:name="tbl-2-right-prior-check"/>
          <w:p>
            <w:pPr>
              <w:jc w:val="center"/>
            </w:pPr>
            <w:pPr>
              <w:jc w:val="left"/>
              <w:spacing w:before="200"/>
              <w:pStyle w:val="ImageCaption"/>
            </w:pPr>
            <w:r>
              <w:t xml:space="preserve">Table 5: Prior predictive check results for right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(3.9 - 49.9%)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 (3.4 - 48.2%)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(0.96 - 1.21)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(1.5 - 14.8)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(1.8 - 20.9)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(0.98 - 1.49)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(0.0 - 25.6%)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(0.88 - 2.23)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5"/>
        </w:tc>
      </w:tr>
    </w:tbl>
    <w:tbl>
      <w:tblPr>
        <w:tblStyle w:val="Table"/>
        <w:tblW w:type="pct" w:w="5000"/>
        <w:tblLayout w:type="fixed"/>
        <w:tblLook w:firstRow="0" w:lastRow="0" w:firstColumn="0" w:lastColumn="0" w:noHBand="0" w:noVBand="0" w:val="0000"/>
      </w:tblPr>
      <w:tblGrid>
        <w:gridCol w:w="7920"/>
      </w:tblGrid>
      <w:tr>
        <w:tc>
          <w:tcPr/>
          <w:bookmarkStart w:id="26" w:name="tbl-3-right-prior-check"/>
          <w:p>
            <w:pPr>
              <w:jc w:val="center"/>
            </w:pPr>
            <w:pPr>
              <w:jc w:val="left"/>
              <w:spacing w:before="200"/>
              <w:pStyle w:val="ImageCaption"/>
            </w:pPr>
            <w:r>
              <w:t xml:space="preserve">Table 6: Prior predictive check results for right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(-20.8 - 22.3)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EQ-VAS. ROPE indicates region of practical equivalence (0.95 to 1.05 for aOR; ± 2 points for EQ-VAS).</w:t>
                  </w:r>
                </w:p>
              </w:tc>
            </w:tr>
          </w:tbl>
          <w:bookmarkEnd w:id="26"/>
        </w:tc>
      </w:tr>
    </w:tbl>
    <w:bookmarkEnd w:id="27"/>
    <w:bookmarkStart w:id="30" w:name="diffuse-prior"/>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8" w:name="tbl-2-flat-prior-check"/>
          <w:p>
            <w:pPr>
              <w:jc w:val="center"/>
            </w:pPr>
            <w:pPr>
              <w:jc w:val="left"/>
              <w:spacing w:before="200"/>
              <w:pStyle w:val="ImageCaption"/>
            </w:pPr>
            <w:r>
              <w:t xml:space="preserve">Table 7: Prior predictive check results for diffuse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48.8% (27.8 - 68.4%)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47.8% (30.0 - 66.6%)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(0.87 - 1.15)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3212.2 (37.3 - 521285)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1830.2 (55.4 - 686812.3)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(0.63 - 1.63)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40.0% (21.9 - 61.6%)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39.6% (23.7 - 62.0%)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(0.79 - 1.25)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3-flat-prior-check"/>
          <w:p>
            <w:pPr>
              <w:jc w:val="center"/>
            </w:pPr>
            <w:pPr>
              <w:jc w:val="left"/>
              <w:spacing w:before="200"/>
              <w:pStyle w:val="ImageCaption"/>
            </w:pPr>
            <w:r>
              <w:t xml:space="preserve">Table 8: Prior predictive check results for diffuse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(0.01 - 136.98)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(0.11 - 8.09)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(0.10 - 8.47)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(-27.9 - 33.8)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EQ-VAS. ROPE indicates region of practical equivalence (0.95 to 1.05 for aOR; ± 2 points for EQ-VAS).</w:t>
                  </w:r>
                </w:p>
              </w:tc>
            </w:tr>
          </w:tbl>
          <w:bookmarkEnd w:id="29"/>
        </w:tc>
      </w:tr>
    </w:tbl>
    <w:bookmarkEnd w:id="30"/>
    <w:bookmarkEnd w:id="31"/>
    <w:bookmarkEnd w:id="32"/>
    <w:bookmarkStart w:id="70" w:name="missing-data-assessment"/>
    <w:p>
      <w:pPr>
        <w:pStyle w:val="Heading2"/>
      </w:pPr>
      <w:r>
        <w:t xml:space="preserve">Missing Data Assessment</w:t>
      </w:r>
    </w:p>
    <w:p>
      <w:pPr>
        <w:pStyle w:val="FirstParagraph"/>
      </w:pPr>
      <w:r>
        <w:t xml:space="preserve">As described in the primary manuscript, the primary analysis used multiple imputation by chained equations (MICE) under a Missing at Random (MAR) assumption. This section provides detailed reporting of missingness patterns across the analytic cohort, assessments supporting the MAR assumption, and diagnostics evaluating the quality of the imputed datasets.</w:t>
      </w:r>
    </w:p>
    <w:bookmarkStart w:id="34" w:name="X7d726ae8039a900e86c27a264493d28b27756e3"/>
    <w:p>
      <w:pPr>
        <w:pStyle w:val="Heading3"/>
      </w:pPr>
      <w:r>
        <w:t xml:space="preserve">Missingness for 90-Day Functional Outcomes by Laterality Group</w:t>
      </w:r>
    </w:p>
    <w:p>
      <w:pPr>
        <w:pStyle w:val="FirstParagraph"/>
      </w:pPr>
      <w:r>
        <w:t xml:space="preserve">Baseline covariates used in model adjustment (age, GCS, ICH volume, ICH location, IVH) had minimal missingness (&lt;1%). However, 90-day follow-up outcomes had more substantial missingness due to loss to follow-up and differences in outcome ascertainment between the ATACH-2 and ERICH study protocols. The table below summarizes missingness for each 90-day outcome by hemispheric laterality group.</w:t>
      </w:r>
    </w:p>
    <w:tbl>
      <w:tblPr>
        <w:tblStyle w:val="Table"/>
        <w:tblW w:type="pct" w:w="5000"/>
        <w:tblLayout w:type="fixed"/>
        <w:tblLook w:firstRow="0" w:lastRow="0" w:firstColumn="0" w:lastColumn="0" w:noHBand="0" w:noVBand="0" w:val="0000"/>
      </w:tblPr>
      <w:tblGrid>
        <w:gridCol w:w="7920"/>
      </w:tblGrid>
      <w:tr>
        <w:tc>
          <w:tcPr/>
          <w:bookmarkStart w:id="33" w:name="tbl-missingness-summary"/>
          <w:p>
            <w:pPr>
              <w:jc w:val="center"/>
            </w:pPr>
            <w:pPr>
              <w:jc w:val="left"/>
              <w:spacing w:before="200"/>
              <w:pStyle w:val="ImageCaption"/>
            </w:pPr>
            <w:r>
              <w:t xml:space="preserve">Table 9: Missingness for 90-Day Outcomes by Hemispheric Laterality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Right Hemisphere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Anxiety/Depression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477/1720 (27.7%)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468/1757 (26.6%)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Mobility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Pain/Discomfort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470/1720 (27.3%)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466/1757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Self-Care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Usual Activities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EQ-VAS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606/1720 (35.2%)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614/1757 (34.9%)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mRS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210/1720 (12.2%)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212/1757 (12.1%)</w:t>
                  </w:r>
                </w:p>
              </w:tc>
            </w:tr>
            <w:tr>
              <w:trPr>
                <w:cantSplit/>
              </w:trPr>
              <w:tc>
                <w:tcPr>
                  <w:gridSpan w:val="3"/>
                </w:tcPr>
                <w:p>
                  <w:pPr>
                    <w:spacing w:before="0" w:after="60"/>
                    <w:keepNext/>
                  </w:pPr>
                  <w:r>
                    <w:rPr>
                      <w:rFonts w:ascii="Calibri" w:hAnsi="Calibri"/>
                      <w:sz w:val="20"/>
                    </w:rPr>
                    <w:t xml:space="default">Values are n missing / N total (%). mRS indicates modified Rankin Scale; EQ-VAS, European Quality of Life Visual Analog Scale; EQ-5D, European Quality of Life-5 Dimensions.</w:t>
                  </w:r>
                </w:p>
              </w:tc>
            </w:tr>
          </w:tbl>
          <w:bookmarkEnd w:id="33"/>
        </w:tc>
      </w:tr>
    </w:tbl>
    <w:bookmarkEnd w:id="34"/>
    <w:bookmarkStart w:id="43" w:name="Xac983227c6f73c76c4ca2a39a9607e409dab30e"/>
    <w:p>
      <w:pPr>
        <w:pStyle w:val="Heading3"/>
      </w:pPr>
      <w:r>
        <w:t xml:space="preserve">Missingness Patterns by Laterality and Study</w:t>
      </w:r>
    </w:p>
    <w:p>
      <w:pPr>
        <w:pStyle w:val="FirstParagraph"/>
      </w:pPr>
      <w:r>
        <w:t xml:space="preserve">The following figures show the percentage of missing data across all analysis variables, stratified by hemispheric laterality and by study. Missingness patterns were largely driven by differences between the ATACH-2 and ERICH study protocols rather than by hemispheric laterality.</w:t>
      </w:r>
    </w:p>
    <w:tbl>
      <w:tblPr>
        <w:tblStyle w:val="Table"/>
        <w:tblW w:type="pct" w:w="5000"/>
        <w:tblLayout w:type="fixed"/>
        <w:tblLook w:firstRow="0" w:lastRow="0" w:firstColumn="0" w:lastColumn="0" w:noHBand="0" w:noVBand="0" w:val="0000"/>
      </w:tblPr>
      <w:tblGrid>
        <w:gridCol w:w="7920"/>
      </w:tblGrid>
      <w:tr>
        <w:tc>
          <w:tcPr/>
          <w:bookmarkStart w:id="38" w:name="fig-missing-by-laterality"/>
          <w:p>
            <w:pPr>
              <w:pStyle w:val="Compact"/>
              <w:jc w:val="center"/>
            </w:pPr>
            <w:r>
              <w:drawing>
                <wp:inline>
                  <wp:extent cx="4620126" cy="7392202"/>
                  <wp:effectExtent b="0" l="0" r="0" t="0"/>
                  <wp:docPr descr="" title="" id="36" name="Picture"/>
                  <a:graphic>
                    <a:graphicData uri="http://schemas.openxmlformats.org/drawingml/2006/picture">
                      <pic:pic>
                        <pic:nvPicPr>
                          <pic:cNvPr descr="manuscript_supplement_files/figure-docx/fig-missing-by-laterality-1.png" id="37" name="Picture"/>
                          <pic:cNvPicPr>
                            <a:picLocks noChangeArrowheads="1" noChangeAspect="1"/>
                          </pic:cNvPicPr>
                        </pic:nvPicPr>
                        <pic:blipFill>
                          <a:blip r:embed="rId35"/>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Percentage of missing data by hemispheric laterality</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missing-by-study"/>
          <w:p>
            <w:pPr>
              <w:pStyle w:val="Compact"/>
              <w:jc w:val="center"/>
            </w:pPr>
            <w:r>
              <w:drawing>
                <wp:inline>
                  <wp:extent cx="4620126" cy="7392202"/>
                  <wp:effectExtent b="0" l="0" r="0" t="0"/>
                  <wp:docPr descr="" title="" id="40" name="Picture"/>
                  <a:graphic>
                    <a:graphicData uri="http://schemas.openxmlformats.org/drawingml/2006/picture">
                      <pic:pic>
                        <pic:nvPicPr>
                          <pic:cNvPr descr="manuscript_supplement_files/figure-docx/fig-missing-by-study-1.png" id="41" name="Picture"/>
                          <pic:cNvPicPr>
                            <a:picLocks noChangeArrowheads="1" noChangeAspect="1"/>
                          </pic:cNvPicPr>
                        </pic:nvPicPr>
                        <pic:blipFill>
                          <a:blip r:embed="rId39"/>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Percentage of missing data by study</w:t>
            </w:r>
          </w:p>
          <w:bookmarkEnd w:id="42"/>
        </w:tc>
      </w:tr>
    </w:tbl>
    <w:bookmarkEnd w:id="43"/>
    <w:bookmarkStart w:id="64" w:name="X575385293a4878cb929cc13c7cb45982a289706"/>
    <w:p>
      <w:pPr>
        <w:pStyle w:val="Heading3"/>
      </w:pPr>
      <w:r>
        <w:t xml:space="preserve">Assessment of Missing at Random Assumption</w:t>
      </w:r>
    </w:p>
    <w:p>
      <w:pPr>
        <w:pStyle w:val="FirstParagraph"/>
      </w:pPr>
      <w:r>
        <w:t xml:space="preserve">To assess whether missingness in 90-day outcomes was associated with key baseline covariates, we generated shadow plots comparing the distribution of each covariate among patients with observed versus missing values. If the distributions are similar, this supports the MAR assumption — that missingness is conditionally independent of the unobserved outcome given the observed covariates.</w:t>
      </w:r>
    </w:p>
    <w:bookmarkStart w:id="53" w:name="mrs-at-90-days"/>
    <w:p>
      <w:pPr>
        <w:pStyle w:val="Heading4"/>
      </w:pPr>
      <w:r>
        <w:t xml:space="preserve">mRS at 90 Days</w:t>
      </w:r>
    </w:p>
    <w:p>
      <w:pPr>
        <w:pStyle w:val="FirstParagraph"/>
      </w:pPr>
      <w:r>
        <w:drawing>
          <wp:inline>
            <wp:extent cx="4620126" cy="5544151"/>
            <wp:effectExtent b="0" l="0" r="0" t="0"/>
            <wp:docPr descr="" title="" id="45" name="Picture"/>
            <a:graphic>
              <a:graphicData uri="http://schemas.openxmlformats.org/drawingml/2006/picture">
                <pic:pic>
                  <pic:nvPicPr>
                    <pic:cNvPr descr="manuscript_supplement_files/figure-docx/shadow-age-mrs-1.png" id="46" name="Picture"/>
                    <pic:cNvPicPr>
                      <a:picLocks noChangeArrowheads="1" noChangeAspect="1"/>
                    </pic:cNvPicPr>
                  </pic:nvPicPr>
                  <pic:blipFill>
                    <a:blip r:embed="rId4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48" name="Picture"/>
            <a:graphic>
              <a:graphicData uri="http://schemas.openxmlformats.org/drawingml/2006/picture">
                <pic:pic>
                  <pic:nvPicPr>
                    <pic:cNvPr descr="manuscript_supplement_files/figure-docx/shadow-gcs-mrs-1.png" id="49" name="Picture"/>
                    <pic:cNvPicPr>
                      <a:picLocks noChangeArrowheads="1" noChangeAspect="1"/>
                    </pic:cNvPicPr>
                  </pic:nvPicPr>
                  <pic:blipFill>
                    <a:blip r:embed="rId4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1" name="Picture"/>
            <a:graphic>
              <a:graphicData uri="http://schemas.openxmlformats.org/drawingml/2006/picture">
                <pic:pic>
                  <pic:nvPicPr>
                    <pic:cNvPr descr="manuscript_supplement_files/figure-docx/shadow-volume-mrs-1.png" id="52" name="Picture"/>
                    <pic:cNvPicPr>
                      <a:picLocks noChangeArrowheads="1" noChangeAspect="1"/>
                    </pic:cNvPicPr>
                  </pic:nvPicPr>
                  <pic:blipFill>
                    <a:blip r:embed="rId50"/>
                    <a:stretch>
                      <a:fillRect/>
                    </a:stretch>
                  </pic:blipFill>
                  <pic:spPr bwMode="auto">
                    <a:xfrm>
                      <a:off x="0" y="0"/>
                      <a:ext cx="4620126" cy="5544151"/>
                    </a:xfrm>
                    <a:prstGeom prst="rect">
                      <a:avLst/>
                    </a:prstGeom>
                    <a:noFill/>
                    <a:ln w="9525">
                      <a:noFill/>
                      <a:headEnd/>
                      <a:tailEnd/>
                    </a:ln>
                  </pic:spPr>
                </pic:pic>
              </a:graphicData>
            </a:graphic>
          </wp:inline>
        </w:drawing>
      </w:r>
    </w:p>
    <w:bookmarkEnd w:id="53"/>
    <w:bookmarkStart w:id="63" w:name="eq-vas-at-90-days"/>
    <w:p>
      <w:pPr>
        <w:pStyle w:val="Heading4"/>
      </w:pPr>
      <w:r>
        <w:t xml:space="preserve">EQ-VAS at 90 Days</w:t>
      </w:r>
    </w:p>
    <w:p>
      <w:pPr>
        <w:pStyle w:val="FirstParagraph"/>
      </w:pPr>
      <w:r>
        <w:drawing>
          <wp:inline>
            <wp:extent cx="4620126" cy="5544151"/>
            <wp:effectExtent b="0" l="0" r="0" t="0"/>
            <wp:docPr descr="" title="" id="55" name="Picture"/>
            <a:graphic>
              <a:graphicData uri="http://schemas.openxmlformats.org/drawingml/2006/picture">
                <pic:pic>
                  <pic:nvPicPr>
                    <pic:cNvPr descr="manuscript_supplement_files/figure-docx/shadow-age-vas-1.png" id="56" name="Picture"/>
                    <pic:cNvPicPr>
                      <a:picLocks noChangeArrowheads="1" noChangeAspect="1"/>
                    </pic:cNvPicPr>
                  </pic:nvPicPr>
                  <pic:blipFill>
                    <a:blip r:embed="rId5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8" name="Picture"/>
            <a:graphic>
              <a:graphicData uri="http://schemas.openxmlformats.org/drawingml/2006/picture">
                <pic:pic>
                  <pic:nvPicPr>
                    <pic:cNvPr descr="manuscript_supplement_files/figure-docx/shadow-gcs-vas-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61" name="Picture"/>
            <a:graphic>
              <a:graphicData uri="http://schemas.openxmlformats.org/drawingml/2006/picture">
                <pic:pic>
                  <pic:nvPicPr>
                    <pic:cNvPr descr="manuscript_supplement_files/figure-docx/shadow-volume-vas-1.png" id="62" name="Picture"/>
                    <pic:cNvPicPr>
                      <a:picLocks noChangeArrowheads="1" noChangeAspect="1"/>
                    </pic:cNvPicPr>
                  </pic:nvPicPr>
                  <pic:blipFill>
                    <a:blip r:embed="rId60"/>
                    <a:stretch>
                      <a:fillRect/>
                    </a:stretch>
                  </pic:blipFill>
                  <pic:spPr bwMode="auto">
                    <a:xfrm>
                      <a:off x="0" y="0"/>
                      <a:ext cx="4620126" cy="5544151"/>
                    </a:xfrm>
                    <a:prstGeom prst="rect">
                      <a:avLst/>
                    </a:prstGeom>
                    <a:noFill/>
                    <a:ln w="9525">
                      <a:noFill/>
                      <a:headEnd/>
                      <a:tailEnd/>
                    </a:ln>
                  </pic:spPr>
                </pic:pic>
              </a:graphicData>
            </a:graphic>
          </wp:inline>
        </w:drawing>
      </w:r>
    </w:p>
    <w:bookmarkEnd w:id="63"/>
    <w:bookmarkEnd w:id="64"/>
    <w:bookmarkStart w:id="69" w:name="imputation-diagnostics"/>
    <w:p>
      <w:pPr>
        <w:pStyle w:val="Heading3"/>
      </w:pPr>
      <w:r>
        <w:t xml:space="preserve">Imputation Diagnostics</w:t>
      </w:r>
    </w:p>
    <w:p>
      <w:pPr>
        <w:pStyle w:val="FirstParagraph"/>
      </w:pPr>
      <w:r>
        <w:t xml:space="preserve">The following figure presents diagnostic checks for the MICE imputation procedure, comparing the distributions of observed data against imputed values across the 20 imputed datasets. Consistency between the observed and imputed distributions supports the plausibility of the imputation model.</w:t>
      </w:r>
    </w:p>
    <w:tbl>
      <w:tblPr>
        <w:tblStyle w:val="Table"/>
        <w:tblW w:type="pct" w:w="5000"/>
        <w:tblLayout w:type="fixed"/>
        <w:tblLook w:firstRow="0" w:lastRow="0" w:firstColumn="0" w:lastColumn="0" w:noHBand="0" w:noVBand="0" w:val="0000"/>
      </w:tblPr>
      <w:tblGrid>
        <w:gridCol w:w="7920"/>
      </w:tblGrid>
      <w:tr>
        <w:tc>
          <w:tcPr/>
          <w:bookmarkStart w:id="68" w:name="fig-imputation-diagnostics"/>
          <w:p>
            <w:pPr>
              <w:pStyle w:val="Compact"/>
              <w:jc w:val="center"/>
            </w:pPr>
            <w:r>
              <w:drawing>
                <wp:inline>
                  <wp:extent cx="4620126" cy="11088303"/>
                  <wp:effectExtent b="0" l="0" r="0" t="0"/>
                  <wp:docPr descr="" title="" id="66" name="Picture"/>
                  <a:graphic>
                    <a:graphicData uri="http://schemas.openxmlformats.org/drawingml/2006/picture">
                      <pic:pic>
                        <pic:nvPicPr>
                          <pic:cNvPr descr="manuscript_supplement_files/figure-docx/fig-imputation-diagnostics-1.png" id="67" name="Picture"/>
                          <pic:cNvPicPr>
                            <a:picLocks noChangeArrowheads="1" noChangeAspect="1"/>
                          </pic:cNvPicPr>
                        </pic:nvPicPr>
                        <pic:blipFill>
                          <a:blip r:embed="rId65"/>
                          <a:stretch>
                            <a:fillRect/>
                          </a:stretch>
                        </pic:blipFill>
                        <pic:spPr bwMode="auto">
                          <a:xfrm>
                            <a:off x="0" y="0"/>
                            <a:ext cx="4620126" cy="110883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Imputation diagnostic plots comparing observed and imputed distributions</w:t>
            </w:r>
          </w:p>
          <w:bookmarkEnd w:id="68"/>
        </w:tc>
      </w:tr>
    </w:tbl>
    <w:bookmarkEnd w:id="69"/>
    <w:bookmarkEnd w:id="70"/>
    <w:bookmarkStart w:id="185" w:name="posterior-simulation-diagnostics"/>
    <w:p>
      <w:pPr>
        <w:pStyle w:val="Heading2"/>
      </w:pPr>
      <w:r>
        <w:t xml:space="preserve">Posterior Simulation Diagnostics</w:t>
      </w:r>
    </w:p>
    <w:p>
      <w:pPr>
        <w:pStyle w:val="FirstParagraph"/>
      </w:pPr>
      <w:r>
        <w:t xml:space="preserve">Posterior Simulation Checks</w:t>
      </w:r>
      <w:r>
        <w:t xml:space="preserve"> </w:t>
      </w:r>
      <w:r>
        <w:t xml:space="preserve">To ensure the reliability and validity of our Bayesian models, we performed several posterior simulation checks.</w:t>
      </w:r>
    </w:p>
    <w:p>
      <w:pPr>
        <w:pStyle w:val="BodyText"/>
      </w:pPr>
      <w:r>
        <w:t xml:space="preserve">Chain Convergence: We assessed the convergence of the Markov Chain Monte Carlo (MCMC) chains by visually inspecting trace plots for each parameter. The trace plots showed that the chains were well-mixed and stationary, indicating that they had converged to a stable posterior distribution. Additionally, we calculated the R-hat statistic for all parameters, ensuring that all values were below 1.01, which confirms the convergence of the chains.</w:t>
      </w:r>
    </w:p>
    <w:p>
      <w:pPr>
        <w:pStyle w:val="BodyText"/>
      </w:pPr>
      <w:r>
        <w:t xml:space="preserve">Posterior Predictive Checks: We conducted posterior predictive checks to evaluate the model’s fit to the data. This involved simulating data from the posterior predictive distribution and comparing it to the observed data. The close correspondence between the simulated and observed data confirmed that our models provided a good fit to the underlying data structure.</w:t>
      </w:r>
    </w:p>
    <w:bookmarkStart w:id="127" w:name="mcmc-chain-convergence-and-resolution"/>
    <w:p>
      <w:pPr>
        <w:pStyle w:val="Heading3"/>
      </w:pPr>
      <w:r>
        <w:t xml:space="preserve">MCMC Chain Convergence and Resolution</w:t>
      </w:r>
    </w:p>
    <w:bookmarkStart w:id="74" w:name="neurosurgical-intervention"/>
    <w:p>
      <w:pPr>
        <w:pStyle w:val="Heading4"/>
      </w:pPr>
      <w:r>
        <w:t xml:space="preserve">Neurosurgical Intervention</w:t>
      </w:r>
    </w:p>
    <w:p>
      <w:pPr>
        <w:pStyle w:val="CaptionedFigure"/>
      </w:pPr>
      <w:r>
        <w:drawing>
          <wp:inline>
            <wp:extent cx="4620126" cy="9240252"/>
            <wp:effectExtent b="0" l="0" r="0" t="0"/>
            <wp:docPr descr="Posterior diagnostic checks for Neurosurgical Intervention" title="" id="72" name="Picture"/>
            <a:graphic>
              <a:graphicData uri="http://schemas.openxmlformats.org/drawingml/2006/picture">
                <pic:pic>
                  <pic:nvPicPr>
                    <pic:cNvPr descr="manuscript_supplement_files/figure-docx/posterior%20diagnostics%20neurosurgery-1.png" id="73" name="Picture"/>
                    <pic:cNvPicPr>
                      <a:picLocks noChangeArrowheads="1" noChangeAspect="1"/>
                    </pic:cNvPicPr>
                  </pic:nvPicPr>
                  <pic:blipFill>
                    <a:blip r:embed="rId7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Neurosurgical Intervention</w:t>
      </w:r>
    </w:p>
    <w:bookmarkEnd w:id="74"/>
    <w:bookmarkStart w:id="78" w:name="ventriculostomy"/>
    <w:p>
      <w:pPr>
        <w:pStyle w:val="Heading4"/>
      </w:pPr>
      <w:r>
        <w:t xml:space="preserve">Ventriculostomy</w:t>
      </w:r>
    </w:p>
    <w:p>
      <w:pPr>
        <w:pStyle w:val="CaptionedFigure"/>
      </w:pPr>
      <w:r>
        <w:drawing>
          <wp:inline>
            <wp:extent cx="4620126" cy="9240252"/>
            <wp:effectExtent b="0" l="0" r="0" t="0"/>
            <wp:docPr descr="Posterior diagnostic checks for Ventriculostomy" title="" id="76" name="Picture"/>
            <a:graphic>
              <a:graphicData uri="http://schemas.openxmlformats.org/drawingml/2006/picture">
                <pic:pic>
                  <pic:nvPicPr>
                    <pic:cNvPr descr="manuscript_supplement_files/figure-docx/posterior%20diagnostics%20evd-1.png" id="77" name="Picture"/>
                    <pic:cNvPicPr>
                      <a:picLocks noChangeArrowheads="1" noChangeAspect="1"/>
                    </pic:cNvPicPr>
                  </pic:nvPicPr>
                  <pic:blipFill>
                    <a:blip r:embed="rId7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Ventriculostomy</w:t>
      </w:r>
    </w:p>
    <w:bookmarkEnd w:id="78"/>
    <w:bookmarkStart w:id="82" w:name="tracheostomy"/>
    <w:p>
      <w:pPr>
        <w:pStyle w:val="Heading4"/>
      </w:pPr>
      <w:r>
        <w:t xml:space="preserve">Tracheostomy</w:t>
      </w:r>
    </w:p>
    <w:p>
      <w:pPr>
        <w:pStyle w:val="CaptionedFigure"/>
      </w:pPr>
      <w:r>
        <w:drawing>
          <wp:inline>
            <wp:extent cx="4620126" cy="9240252"/>
            <wp:effectExtent b="0" l="0" r="0" t="0"/>
            <wp:docPr descr="Posterior diagnostic checks for Tracheostomy" title="" id="80" name="Picture"/>
            <a:graphic>
              <a:graphicData uri="http://schemas.openxmlformats.org/drawingml/2006/picture">
                <pic:pic>
                  <pic:nvPicPr>
                    <pic:cNvPr descr="manuscript_supplement_files/figure-docx/posterior%20diagnostics%20trach-1.png" id="81" name="Picture"/>
                    <pic:cNvPicPr>
                      <a:picLocks noChangeArrowheads="1" noChangeAspect="1"/>
                    </pic:cNvPicPr>
                  </pic:nvPicPr>
                  <pic:blipFill>
                    <a:blip r:embed="rId7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Tracheostomy</w:t>
      </w:r>
    </w:p>
    <w:bookmarkEnd w:id="82"/>
    <w:bookmarkStart w:id="86" w:name="days-of-mechanical-ventilation"/>
    <w:p>
      <w:pPr>
        <w:pStyle w:val="Heading4"/>
      </w:pPr>
      <w:r>
        <w:t xml:space="preserve">Days of Mechanical Ventilation</w:t>
      </w:r>
    </w:p>
    <w:p>
      <w:pPr>
        <w:pStyle w:val="CaptionedFigure"/>
      </w:pPr>
      <w:r>
        <w:drawing>
          <wp:inline>
            <wp:extent cx="4620126" cy="9240252"/>
            <wp:effectExtent b="0" l="0" r="0" t="0"/>
            <wp:docPr descr="Posterior diagnostic checks for Days of Mechanical Ventilation" title="" id="84" name="Picture"/>
            <a:graphic>
              <a:graphicData uri="http://schemas.openxmlformats.org/drawingml/2006/picture">
                <pic:pic>
                  <pic:nvPicPr>
                    <pic:cNvPr descr="manuscript_supplement_files/figure-docx/posterior%20diagnostics%20vent-1.png" id="85" name="Picture"/>
                    <pic:cNvPicPr>
                      <a:picLocks noChangeArrowheads="1" noChangeAspect="1"/>
                    </pic:cNvPicPr>
                  </pic:nvPicPr>
                  <pic:blipFill>
                    <a:blip r:embed="rId8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Days of Mechanical Ventilation</w:t>
      </w:r>
    </w:p>
    <w:bookmarkEnd w:id="86"/>
    <w:bookmarkStart w:id="90" w:name="wlst"/>
    <w:p>
      <w:pPr>
        <w:pStyle w:val="Heading4"/>
      </w:pPr>
      <w:r>
        <w:t xml:space="preserve">WLST</w:t>
      </w:r>
    </w:p>
    <w:p>
      <w:pPr>
        <w:pStyle w:val="CaptionedFigure"/>
      </w:pPr>
      <w:r>
        <w:drawing>
          <wp:inline>
            <wp:extent cx="4620126" cy="9240252"/>
            <wp:effectExtent b="0" l="0" r="0" t="0"/>
            <wp:docPr descr="Posterior diagnostic checks for WLST" title="" id="88" name="Picture"/>
            <a:graphic>
              <a:graphicData uri="http://schemas.openxmlformats.org/drawingml/2006/picture">
                <pic:pic>
                  <pic:nvPicPr>
                    <pic:cNvPr descr="manuscript_supplement_files/figure-docx/posterior%20diagnostics%20comfort-1.png" id="89" name="Picture"/>
                    <pic:cNvPicPr>
                      <a:picLocks noChangeArrowheads="1" noChangeAspect="1"/>
                    </pic:cNvPicPr>
                  </pic:nvPicPr>
                  <pic:blipFill>
                    <a:blip r:embed="rId8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WLST</w:t>
      </w:r>
    </w:p>
    <w:bookmarkEnd w:id="90"/>
    <w:bookmarkStart w:id="94" w:name="early-wlst"/>
    <w:p>
      <w:pPr>
        <w:pStyle w:val="Heading4"/>
      </w:pPr>
      <w:r>
        <w:t xml:space="preserve">Early WLST</w:t>
      </w:r>
    </w:p>
    <w:p>
      <w:pPr>
        <w:pStyle w:val="CaptionedFigure"/>
      </w:pPr>
      <w:r>
        <w:drawing>
          <wp:inline>
            <wp:extent cx="4620126" cy="9240252"/>
            <wp:effectExtent b="0" l="0" r="0" t="0"/>
            <wp:docPr descr="Posterior diagnostic checks for Early WLST" title="" id="92" name="Picture"/>
            <a:graphic>
              <a:graphicData uri="http://schemas.openxmlformats.org/drawingml/2006/picture">
                <pic:pic>
                  <pic:nvPicPr>
                    <pic:cNvPr descr="manuscript_supplement_files/figure-docx/posterior%20diagnostics%20early%20wlst-1.png" id="93" name="Picture"/>
                    <pic:cNvPicPr>
                      <a:picLocks noChangeArrowheads="1" noChangeAspect="1"/>
                    </pic:cNvPicPr>
                  </pic:nvPicPr>
                  <pic:blipFill>
                    <a:blip r:embed="rId9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Early WLST</w:t>
      </w:r>
    </w:p>
    <w:bookmarkEnd w:id="94"/>
    <w:bookmarkStart w:id="98" w:name="dnr"/>
    <w:p>
      <w:pPr>
        <w:pStyle w:val="Heading4"/>
      </w:pPr>
      <w:r>
        <w:t xml:space="preserve">DNR</w:t>
      </w:r>
    </w:p>
    <w:p>
      <w:pPr>
        <w:pStyle w:val="CaptionedFigure"/>
      </w:pPr>
      <w:r>
        <w:drawing>
          <wp:inline>
            <wp:extent cx="4620126" cy="9240252"/>
            <wp:effectExtent b="0" l="0" r="0" t="0"/>
            <wp:docPr descr="Posterior diagnostic checks for DNR" title="" id="96" name="Picture"/>
            <a:graphic>
              <a:graphicData uri="http://schemas.openxmlformats.org/drawingml/2006/picture">
                <pic:pic>
                  <pic:nvPicPr>
                    <pic:cNvPr descr="manuscript_supplement_files/figure-docx/posterior%20diagnostics%20dnr-1.png" id="97" name="Picture"/>
                    <pic:cNvPicPr>
                      <a:picLocks noChangeArrowheads="1" noChangeAspect="1"/>
                    </pic:cNvPicPr>
                  </pic:nvPicPr>
                  <pic:blipFill>
                    <a:blip r:embed="rId9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DNR</w:t>
      </w:r>
    </w:p>
    <w:bookmarkEnd w:id="98"/>
    <w:bookmarkStart w:id="102" w:name="mrs-90"/>
    <w:p>
      <w:pPr>
        <w:pStyle w:val="Heading4"/>
      </w:pPr>
      <w:r>
        <w:t xml:space="preserve">mRS 90</w:t>
      </w:r>
    </w:p>
    <w:p>
      <w:pPr>
        <w:pStyle w:val="CaptionedFigure"/>
      </w:pPr>
      <w:r>
        <w:drawing>
          <wp:inline>
            <wp:extent cx="4620126" cy="9240252"/>
            <wp:effectExtent b="0" l="0" r="0" t="0"/>
            <wp:docPr descr="Posterior diagnostic checks for Modified Rankin Scale at 90 Days" title="" id="100" name="Picture"/>
            <a:graphic>
              <a:graphicData uri="http://schemas.openxmlformats.org/drawingml/2006/picture">
                <pic:pic>
                  <pic:nvPicPr>
                    <pic:cNvPr descr="manuscript_supplement_files/figure-docx/posterior%20diagnostics%20mrs-1.png" id="101" name="Picture"/>
                    <pic:cNvPicPr>
                      <a:picLocks noChangeArrowheads="1" noChangeAspect="1"/>
                    </pic:cNvPicPr>
                  </pic:nvPicPr>
                  <pic:blipFill>
                    <a:blip r:embed="rId9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Modified Rankin Scale at 90 Days</w:t>
      </w:r>
    </w:p>
    <w:bookmarkEnd w:id="102"/>
    <w:bookmarkStart w:id="106" w:name="euroqol-mobility-90"/>
    <w:p>
      <w:pPr>
        <w:pStyle w:val="Heading4"/>
      </w:pPr>
      <w:r>
        <w:t xml:space="preserve">EuroQOL Mobility 90</w:t>
      </w:r>
    </w:p>
    <w:p>
      <w:pPr>
        <w:pStyle w:val="CaptionedFigure"/>
      </w:pPr>
      <w:r>
        <w:drawing>
          <wp:inline>
            <wp:extent cx="4620126" cy="9240252"/>
            <wp:effectExtent b="0" l="0" r="0" t="0"/>
            <wp:docPr descr="Posterior diagnostic checks for EuroQOL — Mobility at 90 Days" title="" id="104" name="Picture"/>
            <a:graphic>
              <a:graphicData uri="http://schemas.openxmlformats.org/drawingml/2006/picture">
                <pic:pic>
                  <pic:nvPicPr>
                    <pic:cNvPr descr="manuscript_supplement_files/figure-docx/posterior%20diagnostics%20euro%20mobility-1.png" id="105" name="Picture"/>
                    <pic:cNvPicPr>
                      <a:picLocks noChangeArrowheads="1" noChangeAspect="1"/>
                    </pic:cNvPicPr>
                  </pic:nvPicPr>
                  <pic:blipFill>
                    <a:blip r:embed="rId10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Mobility at 90 Days</w:t>
      </w:r>
    </w:p>
    <w:bookmarkEnd w:id="106"/>
    <w:bookmarkStart w:id="110" w:name="euroqol-self-care-90"/>
    <w:p>
      <w:pPr>
        <w:pStyle w:val="Heading4"/>
      </w:pPr>
      <w:r>
        <w:t xml:space="preserve">EuroQOL Self-Care 90</w:t>
      </w:r>
    </w:p>
    <w:p>
      <w:pPr>
        <w:pStyle w:val="CaptionedFigure"/>
      </w:pPr>
      <w:r>
        <w:drawing>
          <wp:inline>
            <wp:extent cx="4620126" cy="9240252"/>
            <wp:effectExtent b="0" l="0" r="0" t="0"/>
            <wp:docPr descr="Posterior diagnostic checks for EuroQOL — Self-Care at 90 Days" title="" id="108" name="Picture"/>
            <a:graphic>
              <a:graphicData uri="http://schemas.openxmlformats.org/drawingml/2006/picture">
                <pic:pic>
                  <pic:nvPicPr>
                    <pic:cNvPr descr="manuscript_supplement_files/figure-docx/posterior%20diagnostics%20euro%20selfcare-1.png" id="109" name="Picture"/>
                    <pic:cNvPicPr>
                      <a:picLocks noChangeArrowheads="1" noChangeAspect="1"/>
                    </pic:cNvPicPr>
                  </pic:nvPicPr>
                  <pic:blipFill>
                    <a:blip r:embed="rId10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Self-Care at 90 Days</w:t>
      </w:r>
    </w:p>
    <w:bookmarkEnd w:id="110"/>
    <w:bookmarkStart w:id="114" w:name="euroqol-usual-activities-90"/>
    <w:p>
      <w:pPr>
        <w:pStyle w:val="Heading4"/>
      </w:pPr>
      <w:r>
        <w:t xml:space="preserve">EuroQOL Usual Activities 90</w:t>
      </w:r>
    </w:p>
    <w:p>
      <w:pPr>
        <w:pStyle w:val="CaptionedFigure"/>
      </w:pPr>
      <w:r>
        <w:drawing>
          <wp:inline>
            <wp:extent cx="4620126" cy="9240252"/>
            <wp:effectExtent b="0" l="0" r="0" t="0"/>
            <wp:docPr descr="Posterior diagnostic checks for EuroQOL — Usual Activities at 90 Days" title="" id="112" name="Picture"/>
            <a:graphic>
              <a:graphicData uri="http://schemas.openxmlformats.org/drawingml/2006/picture">
                <pic:pic>
                  <pic:nvPicPr>
                    <pic:cNvPr descr="manuscript_supplement_files/figure-docx/posterior%20diagnostics%20euro%20usual-1.png" id="113" name="Picture"/>
                    <pic:cNvPicPr>
                      <a:picLocks noChangeArrowheads="1" noChangeAspect="1"/>
                    </pic:cNvPicPr>
                  </pic:nvPicPr>
                  <pic:blipFill>
                    <a:blip r:embed="rId11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Usual Activities at 90 Days</w:t>
      </w:r>
    </w:p>
    <w:bookmarkEnd w:id="114"/>
    <w:bookmarkStart w:id="118" w:name="euroqol-paindiscomfort-90"/>
    <w:p>
      <w:pPr>
        <w:pStyle w:val="Heading4"/>
      </w:pPr>
      <w:r>
        <w:t xml:space="preserve">EuroQOL Pain/Discomfort 90</w:t>
      </w:r>
    </w:p>
    <w:p>
      <w:pPr>
        <w:pStyle w:val="CaptionedFigure"/>
      </w:pPr>
      <w:r>
        <w:drawing>
          <wp:inline>
            <wp:extent cx="4620126" cy="9240252"/>
            <wp:effectExtent b="0" l="0" r="0" t="0"/>
            <wp:docPr descr="Posterior diagnostic checks for EuroQOL — Pain/Discomfort at 90 Days" title="" id="116" name="Picture"/>
            <a:graphic>
              <a:graphicData uri="http://schemas.openxmlformats.org/drawingml/2006/picture">
                <pic:pic>
                  <pic:nvPicPr>
                    <pic:cNvPr descr="manuscript_supplement_files/figure-docx/posterior%20diagnostics%20euro%20pain-1.png" id="117" name="Picture"/>
                    <pic:cNvPicPr>
                      <a:picLocks noChangeArrowheads="1" noChangeAspect="1"/>
                    </pic:cNvPicPr>
                  </pic:nvPicPr>
                  <pic:blipFill>
                    <a:blip r:embed="rId11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Pain/Discomfort at 90 Days</w:t>
      </w:r>
    </w:p>
    <w:bookmarkEnd w:id="118"/>
    <w:bookmarkStart w:id="122" w:name="euroqol-anxietydepression-90"/>
    <w:p>
      <w:pPr>
        <w:pStyle w:val="Heading4"/>
      </w:pPr>
      <w:r>
        <w:t xml:space="preserve">EuroQOL Anxiety/Depression 90</w:t>
      </w:r>
    </w:p>
    <w:p>
      <w:pPr>
        <w:pStyle w:val="CaptionedFigure"/>
      </w:pPr>
      <w:r>
        <w:drawing>
          <wp:inline>
            <wp:extent cx="4620126" cy="9240252"/>
            <wp:effectExtent b="0" l="0" r="0" t="0"/>
            <wp:docPr descr="Posterior diagnostic checks for EuroQOL — Anxiety/Depression at 90 Days" title="" id="120" name="Picture"/>
            <a:graphic>
              <a:graphicData uri="http://schemas.openxmlformats.org/drawingml/2006/picture">
                <pic:pic>
                  <pic:nvPicPr>
                    <pic:cNvPr descr="manuscript_supplement_files/figure-docx/posterior%20diagnostics%20euro%20anxiety-1.png" id="121" name="Picture"/>
                    <pic:cNvPicPr>
                      <a:picLocks noChangeArrowheads="1" noChangeAspect="1"/>
                    </pic:cNvPicPr>
                  </pic:nvPicPr>
                  <pic:blipFill>
                    <a:blip r:embed="rId11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Anxiety/Depression at 90 Days</w:t>
      </w:r>
    </w:p>
    <w:bookmarkEnd w:id="122"/>
    <w:bookmarkStart w:id="126" w:name="euroqol-vas-90"/>
    <w:p>
      <w:pPr>
        <w:pStyle w:val="Heading4"/>
      </w:pPr>
      <w:r>
        <w:t xml:space="preserve">EuroQOL VAS 90</w:t>
      </w:r>
    </w:p>
    <w:p>
      <w:pPr>
        <w:pStyle w:val="CaptionedFigure"/>
      </w:pPr>
      <w:r>
        <w:drawing>
          <wp:inline>
            <wp:extent cx="4620126" cy="9240252"/>
            <wp:effectExtent b="0" l="0" r="0" t="0"/>
            <wp:docPr descr="Posterior diagnostic checks for EuroQOL — VAS at 90 Days" title="" id="124" name="Picture"/>
            <a:graphic>
              <a:graphicData uri="http://schemas.openxmlformats.org/drawingml/2006/picture">
                <pic:pic>
                  <pic:nvPicPr>
                    <pic:cNvPr descr="manuscript_supplement_files/figure-docx/posterior%20diagnostics%20euro%20vas-1.png" id="125" name="Picture"/>
                    <pic:cNvPicPr>
                      <a:picLocks noChangeArrowheads="1" noChangeAspect="1"/>
                    </pic:cNvPicPr>
                  </pic:nvPicPr>
                  <pic:blipFill>
                    <a:blip r:embed="rId12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VAS at 90 Days</w:t>
      </w:r>
    </w:p>
    <w:bookmarkEnd w:id="126"/>
    <w:bookmarkEnd w:id="127"/>
    <w:bookmarkStart w:id="184" w:name="posterior-predictive-checks"/>
    <w:p>
      <w:pPr>
        <w:pStyle w:val="Heading3"/>
      </w:pPr>
      <w:r>
        <w:t xml:space="preserve">Posterior predictive checks</w:t>
      </w:r>
    </w:p>
    <w:bookmarkStart w:id="131" w:name="neurosurgical-intervention-1"/>
    <w:p>
      <w:pPr>
        <w:pStyle w:val="Heading4"/>
      </w:pPr>
      <w:r>
        <w:t xml:space="preserve">Neurosurgical Intervention</w:t>
      </w:r>
    </w:p>
    <w:p>
      <w:pPr>
        <w:pStyle w:val="CaptionedFigure"/>
      </w:pPr>
      <w:r>
        <w:drawing>
          <wp:inline>
            <wp:extent cx="4620126" cy="3696101"/>
            <wp:effectExtent b="0" l="0" r="0" t="0"/>
            <wp:docPr descr="Posterior predictive checks for Neurosurgical Intervention" title="" id="129" name="Picture"/>
            <a:graphic>
              <a:graphicData uri="http://schemas.openxmlformats.org/drawingml/2006/picture">
                <pic:pic>
                  <pic:nvPicPr>
                    <pic:cNvPr descr="manuscript_supplement_files/figure-docx/posterior%20predictions%20neurosurgery-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Neurosurgical Intervention</w:t>
      </w:r>
    </w:p>
    <w:bookmarkEnd w:id="131"/>
    <w:bookmarkStart w:id="135" w:name="ventriculostomy-1"/>
    <w:p>
      <w:pPr>
        <w:pStyle w:val="Heading4"/>
      </w:pPr>
      <w:r>
        <w:t xml:space="preserve">Ventriculostomy</w:t>
      </w:r>
    </w:p>
    <w:p>
      <w:pPr>
        <w:pStyle w:val="CaptionedFigure"/>
      </w:pPr>
      <w:r>
        <w:drawing>
          <wp:inline>
            <wp:extent cx="4620126" cy="3696101"/>
            <wp:effectExtent b="0" l="0" r="0" t="0"/>
            <wp:docPr descr="Posterior predictive checks for Ventriculostomy" title="" id="133" name="Picture"/>
            <a:graphic>
              <a:graphicData uri="http://schemas.openxmlformats.org/drawingml/2006/picture">
                <pic:pic>
                  <pic:nvPicPr>
                    <pic:cNvPr descr="manuscript_supplement_files/figure-docx/posterior%20predictions%20evd-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Ventriculostomy</w:t>
      </w:r>
    </w:p>
    <w:bookmarkEnd w:id="135"/>
    <w:bookmarkStart w:id="139" w:name="tracheostomy-1"/>
    <w:p>
      <w:pPr>
        <w:pStyle w:val="Heading4"/>
      </w:pPr>
      <w:r>
        <w:t xml:space="preserve">Tracheostomy</w:t>
      </w:r>
    </w:p>
    <w:p>
      <w:pPr>
        <w:pStyle w:val="CaptionedFigure"/>
      </w:pPr>
      <w:r>
        <w:drawing>
          <wp:inline>
            <wp:extent cx="4620126" cy="3696101"/>
            <wp:effectExtent b="0" l="0" r="0" t="0"/>
            <wp:docPr descr="Posterior predictive checks for Tracheostomy" title="" id="137" name="Picture"/>
            <a:graphic>
              <a:graphicData uri="http://schemas.openxmlformats.org/drawingml/2006/picture">
                <pic:pic>
                  <pic:nvPicPr>
                    <pic:cNvPr descr="manuscript_supplement_files/figure-docx/posterior%20predictions%20trach-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Tracheostomy</w:t>
      </w:r>
    </w:p>
    <w:bookmarkEnd w:id="139"/>
    <w:bookmarkStart w:id="143" w:name="days-of-mechanical-ventilation-1"/>
    <w:p>
      <w:pPr>
        <w:pStyle w:val="Heading4"/>
      </w:pPr>
      <w:r>
        <w:t xml:space="preserve">Days of Mechanical Ventilation</w:t>
      </w:r>
    </w:p>
    <w:p>
      <w:pPr>
        <w:pStyle w:val="CaptionedFigure"/>
      </w:pPr>
      <w:r>
        <w:drawing>
          <wp:inline>
            <wp:extent cx="4620126" cy="3696101"/>
            <wp:effectExtent b="0" l="0" r="0" t="0"/>
            <wp:docPr descr="Posterior predictive checks for Days of Mechanical Ventilation" title="" id="141" name="Picture"/>
            <a:graphic>
              <a:graphicData uri="http://schemas.openxmlformats.org/drawingml/2006/picture">
                <pic:pic>
                  <pic:nvPicPr>
                    <pic:cNvPr descr="manuscript_supplement_files/figure-docx/posterior%20predictions%20vent-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Days of Mechanical Ventilation</w:t>
      </w:r>
    </w:p>
    <w:bookmarkEnd w:id="143"/>
    <w:bookmarkStart w:id="147" w:name="wlst-1"/>
    <w:p>
      <w:pPr>
        <w:pStyle w:val="Heading4"/>
      </w:pPr>
      <w:r>
        <w:t xml:space="preserve">WLST</w:t>
      </w:r>
    </w:p>
    <w:p>
      <w:pPr>
        <w:pStyle w:val="CaptionedFigure"/>
      </w:pPr>
      <w:r>
        <w:drawing>
          <wp:inline>
            <wp:extent cx="4620126" cy="3696101"/>
            <wp:effectExtent b="0" l="0" r="0" t="0"/>
            <wp:docPr descr="Posterior predictive checks for WLST" title="" id="145" name="Picture"/>
            <a:graphic>
              <a:graphicData uri="http://schemas.openxmlformats.org/drawingml/2006/picture">
                <pic:pic>
                  <pic:nvPicPr>
                    <pic:cNvPr descr="manuscript_supplement_files/figure-docx/posterior%20predictions%20comfort-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WLST</w:t>
      </w:r>
    </w:p>
    <w:bookmarkEnd w:id="147"/>
    <w:bookmarkStart w:id="151" w:name="early-wlst-1"/>
    <w:p>
      <w:pPr>
        <w:pStyle w:val="Heading4"/>
      </w:pPr>
      <w:r>
        <w:t xml:space="preserve">Early WLST</w:t>
      </w:r>
    </w:p>
    <w:p>
      <w:pPr>
        <w:pStyle w:val="CaptionedFigure"/>
      </w:pPr>
      <w:r>
        <w:drawing>
          <wp:inline>
            <wp:extent cx="4620126" cy="3696101"/>
            <wp:effectExtent b="0" l="0" r="0" t="0"/>
            <wp:docPr descr="Posterior predictive checks for Early WLST" title="" id="149" name="Picture"/>
            <a:graphic>
              <a:graphicData uri="http://schemas.openxmlformats.org/drawingml/2006/picture">
                <pic:pic>
                  <pic:nvPicPr>
                    <pic:cNvPr descr="manuscript_supplement_files/figure-docx/posterior%20predictions%20early%20wlst-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Early WLST</w:t>
      </w:r>
    </w:p>
    <w:bookmarkEnd w:id="151"/>
    <w:bookmarkStart w:id="155" w:name="dnr-1"/>
    <w:p>
      <w:pPr>
        <w:pStyle w:val="Heading4"/>
      </w:pPr>
      <w:r>
        <w:t xml:space="preserve">DNR</w:t>
      </w:r>
    </w:p>
    <w:p>
      <w:pPr>
        <w:pStyle w:val="CaptionedFigure"/>
      </w:pPr>
      <w:r>
        <w:drawing>
          <wp:inline>
            <wp:extent cx="4620126" cy="3696101"/>
            <wp:effectExtent b="0" l="0" r="0" t="0"/>
            <wp:docPr descr="Posterior predictive checks for DNR" title="" id="153" name="Picture"/>
            <a:graphic>
              <a:graphicData uri="http://schemas.openxmlformats.org/drawingml/2006/picture">
                <pic:pic>
                  <pic:nvPicPr>
                    <pic:cNvPr descr="manuscript_supplement_files/figure-docx/posterior%20predictions%20dnr-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DNR</w:t>
      </w:r>
    </w:p>
    <w:bookmarkEnd w:id="155"/>
    <w:bookmarkStart w:id="159" w:name="mrs-90-1"/>
    <w:p>
      <w:pPr>
        <w:pStyle w:val="Heading4"/>
      </w:pPr>
      <w:r>
        <w:t xml:space="preserve">mRS 90</w:t>
      </w:r>
    </w:p>
    <w:p>
      <w:pPr>
        <w:pStyle w:val="CaptionedFigure"/>
      </w:pPr>
      <w:r>
        <w:drawing>
          <wp:inline>
            <wp:extent cx="4620126" cy="3696101"/>
            <wp:effectExtent b="0" l="0" r="0" t="0"/>
            <wp:docPr descr="Posterior predictive checks for Modified Rankin Scale at 90 Days" title="" id="157" name="Picture"/>
            <a:graphic>
              <a:graphicData uri="http://schemas.openxmlformats.org/drawingml/2006/picture">
                <pic:pic>
                  <pic:nvPicPr>
                    <pic:cNvPr descr="manuscript_supplement_files/figure-docx/posterior%20predictions%20mrs-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Modified Rankin Scale at 90 Days</w:t>
      </w:r>
    </w:p>
    <w:bookmarkEnd w:id="159"/>
    <w:bookmarkStart w:id="163" w:name="euroqol-mobility-90-1"/>
    <w:p>
      <w:pPr>
        <w:pStyle w:val="Heading4"/>
      </w:pPr>
      <w:r>
        <w:t xml:space="preserve">EuroQOL Mobility 90</w:t>
      </w:r>
    </w:p>
    <w:p>
      <w:pPr>
        <w:pStyle w:val="CaptionedFigure"/>
      </w:pPr>
      <w:r>
        <w:drawing>
          <wp:inline>
            <wp:extent cx="4620126" cy="3696101"/>
            <wp:effectExtent b="0" l="0" r="0" t="0"/>
            <wp:docPr descr="Posterior predictive checks for EuroQOL — Mobility at 90 Days" title="" id="161" name="Picture"/>
            <a:graphic>
              <a:graphicData uri="http://schemas.openxmlformats.org/drawingml/2006/picture">
                <pic:pic>
                  <pic:nvPicPr>
                    <pic:cNvPr descr="manuscript_supplement_files/figure-docx/posterior%20predictions%20euro%20mobility-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Mobility at 90 Days</w:t>
      </w:r>
    </w:p>
    <w:bookmarkEnd w:id="163"/>
    <w:bookmarkStart w:id="167" w:name="euroqol-self-care-90-1"/>
    <w:p>
      <w:pPr>
        <w:pStyle w:val="Heading4"/>
      </w:pPr>
      <w:r>
        <w:t xml:space="preserve">EuroQOL Self-Care 90</w:t>
      </w:r>
    </w:p>
    <w:p>
      <w:pPr>
        <w:pStyle w:val="CaptionedFigure"/>
      </w:pPr>
      <w:r>
        <w:drawing>
          <wp:inline>
            <wp:extent cx="4620126" cy="3696101"/>
            <wp:effectExtent b="0" l="0" r="0" t="0"/>
            <wp:docPr descr="Posterior predictive checks for EuroQOL — Self-Care at 90 Days" title="" id="165" name="Picture"/>
            <a:graphic>
              <a:graphicData uri="http://schemas.openxmlformats.org/drawingml/2006/picture">
                <pic:pic>
                  <pic:nvPicPr>
                    <pic:cNvPr descr="manuscript_supplement_files/figure-docx/posterior%20predictions%20euro%20selfcare-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Self-Care at 90 Days</w:t>
      </w:r>
    </w:p>
    <w:bookmarkEnd w:id="167"/>
    <w:bookmarkStart w:id="171" w:name="euroqol-usual-activities-90-1"/>
    <w:p>
      <w:pPr>
        <w:pStyle w:val="Heading4"/>
      </w:pPr>
      <w:r>
        <w:t xml:space="preserve">EuroQOL Usual Activities 90</w:t>
      </w:r>
    </w:p>
    <w:p>
      <w:pPr>
        <w:pStyle w:val="CaptionedFigure"/>
      </w:pPr>
      <w:r>
        <w:drawing>
          <wp:inline>
            <wp:extent cx="4620126" cy="3696101"/>
            <wp:effectExtent b="0" l="0" r="0" t="0"/>
            <wp:docPr descr="Posterior predictive checks for EuroQOL — Usual Activities at 90 Days" title="" id="169" name="Picture"/>
            <a:graphic>
              <a:graphicData uri="http://schemas.openxmlformats.org/drawingml/2006/picture">
                <pic:pic>
                  <pic:nvPicPr>
                    <pic:cNvPr descr="manuscript_supplement_files/figure-docx/posterior%20predictions%20euro%20usual-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Usual Activities at 90 Days</w:t>
      </w:r>
    </w:p>
    <w:bookmarkEnd w:id="171"/>
    <w:bookmarkStart w:id="175" w:name="euroqol-paindiscomfort-90-1"/>
    <w:p>
      <w:pPr>
        <w:pStyle w:val="Heading4"/>
      </w:pPr>
      <w:r>
        <w:t xml:space="preserve">EuroQOL Pain/Discomfort 90</w:t>
      </w:r>
    </w:p>
    <w:p>
      <w:pPr>
        <w:pStyle w:val="CaptionedFigure"/>
      </w:pPr>
      <w:r>
        <w:drawing>
          <wp:inline>
            <wp:extent cx="4620126" cy="3696101"/>
            <wp:effectExtent b="0" l="0" r="0" t="0"/>
            <wp:docPr descr="Posterior predictive checks for EuroQOL — Pain/Discomfort at 90 Days" title="" id="173" name="Picture"/>
            <a:graphic>
              <a:graphicData uri="http://schemas.openxmlformats.org/drawingml/2006/picture">
                <pic:pic>
                  <pic:nvPicPr>
                    <pic:cNvPr descr="manuscript_supplement_files/figure-docx/posterior%20predictions%20euro%20pain-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Pain/Discomfort at 90 Days</w:t>
      </w:r>
    </w:p>
    <w:bookmarkEnd w:id="175"/>
    <w:bookmarkStart w:id="179" w:name="euroqol-anxietydepression-90-1"/>
    <w:p>
      <w:pPr>
        <w:pStyle w:val="Heading4"/>
      </w:pPr>
      <w:r>
        <w:t xml:space="preserve">EuroQOL Anxiety/Depression 90</w:t>
      </w:r>
    </w:p>
    <w:p>
      <w:pPr>
        <w:pStyle w:val="CaptionedFigure"/>
      </w:pPr>
      <w:r>
        <w:drawing>
          <wp:inline>
            <wp:extent cx="4620126" cy="3696101"/>
            <wp:effectExtent b="0" l="0" r="0" t="0"/>
            <wp:docPr descr="Posterior predictive checks for EuroQOL — Anxiety/Depression at 90 Days" title="" id="177" name="Picture"/>
            <a:graphic>
              <a:graphicData uri="http://schemas.openxmlformats.org/drawingml/2006/picture">
                <pic:pic>
                  <pic:nvPicPr>
                    <pic:cNvPr descr="manuscript_supplement_files/figure-docx/posterior%20predictions%20euro%20anxiety-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Anxiety/Depression at 90 Days</w:t>
      </w:r>
    </w:p>
    <w:bookmarkEnd w:id="179"/>
    <w:bookmarkStart w:id="183" w:name="euroqol-vas-90-1"/>
    <w:p>
      <w:pPr>
        <w:pStyle w:val="Heading4"/>
      </w:pPr>
      <w:r>
        <w:t xml:space="preserve">EuroQOL VAS 90</w:t>
      </w:r>
    </w:p>
    <w:p>
      <w:pPr>
        <w:pStyle w:val="CaptionedFigure"/>
      </w:pPr>
      <w:r>
        <w:drawing>
          <wp:inline>
            <wp:extent cx="4620126" cy="3696101"/>
            <wp:effectExtent b="0" l="0" r="0" t="0"/>
            <wp:docPr descr="Posterior predictive checks for EuroQOL — VAS at 90 Days" title="" id="181" name="Picture"/>
            <a:graphic>
              <a:graphicData uri="http://schemas.openxmlformats.org/drawingml/2006/picture">
                <pic:pic>
                  <pic:nvPicPr>
                    <pic:cNvPr descr="manuscript_supplement_files/figure-docx/posterior%20predictions%20euro%20vas-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VAS at 90 Days</w:t>
      </w:r>
    </w:p>
    <w:bookmarkEnd w:id="183"/>
    <w:bookmarkEnd w:id="184"/>
    <w:bookmarkEnd w:id="185"/>
    <w:bookmarkStart w:id="207" w:name="sensitivity-analyses"/>
    <w:p>
      <w:pPr>
        <w:pStyle w:val="Heading2"/>
      </w:pPr>
      <w:r>
        <w:t xml:space="preserve">Sensitivity Analyses</w:t>
      </w:r>
    </w:p>
    <w:p>
      <w:pPr>
        <w:pStyle w:val="FirstParagraph"/>
      </w:pPr>
      <w:r>
        <w:t xml:space="preserve">To assess the robustness of our findings for the primary outcome, we conducted several sensitivity analyses. First, we repeated the primary analysis using three alternative prior distributions: a left-hemisphere prior, a right-hemisphere prior, and a flat (minimally informative) prior. This allowed us to evaluate the influence of different initial beliefs on the resulting posterior distributions. Second, we explored an alternative covariate adjustment set based on a minimal adjustment set identified from our directed acyclic graphs (DAGs) to ensure our results were not dependent on the specific model specification. Third, as described in the primary manuscript, the primary analysis used MICE-imputed data; we performed a complete-case sensitivity analysis (excluding patients with missing outcomes) to confirm that our findings were not unduly influenced by the imputation assumptions. Finally, to evaluate the potential impact of center-level clustering, we performed a site-level random-effect sensitivity analysis restricted to the ATACH-2 cohort, where hospital site identifiers were available. The results of these sensitivity analyses were consistent with our primary findings, demonstrating the robustness of our conclusions.</w:t>
      </w:r>
    </w:p>
    <w:bookmarkStart w:id="187" w:name="X5b3d359d4158f9e16fdc25061ba2fd94a0bee03"/>
    <w:p>
      <w:pPr>
        <w:pStyle w:val="Heading3"/>
      </w:pPr>
      <w:r>
        <w:t xml:space="preserve">Exploratory Subgroup Interaction Analysis</w:t>
      </w:r>
    </w:p>
    <w:p>
      <w:pPr>
        <w:pStyle w:val="FirstParagraph"/>
      </w:pPr>
      <w:r>
        <w:t xml:space="preserve">To evaluate whether the association between hemispheric laterality and neurosurgical intervention varied across clinically relevant subgroups, we fitted Bayesian logistic regression models that included formal interaction terms between ICH laterality and each subgroup variable. Two interaction models were fitted: (1) laterality × ICH location (basal ganglia, lobar, thalamic) and (2) laterality × study (ATACH-2, ERICH). Both models used the neutral prior under the adjusted covariate set and were fitted to complete-case data.</w:t>
      </w:r>
    </w:p>
    <w:p>
      <w:pPr>
        <w:pStyle w:val="BodyText"/>
      </w:pPr>
      <w:r>
        <w:t xml:space="preserve">For each subgroup, we report: the subgroup-specific adjusted odds ratio (aOR) for the laterality association with 95% CrI, posterior probabilities of the aOR exceeding 1 and 1.2, the proportion of the posterior within the ROPE, and — critically — the formal interaction effect expressed as a Ratio of Odds Ratios (ROR). The ROR quantifies how many times larger (or smaller) the laterality effect is in a given subgroup compared to the reference subgroup. An ROR of 1 indicates no difference in the laterality association across subgroups, while values substantially above or below 1 suggest effect modification.</w:t>
      </w:r>
    </w:p>
    <w:p>
      <w:pPr>
        <w:pStyle w:val="BodyText"/>
      </w:pPr>
      <w:r>
        <w:t xml:space="preserve">This approach avoids the well-known pitfalls of comparing isolated subgroup point estimates, which can yield misleading conclusions about heterogeneity. Instead, the interaction ROR directly tests whether the laterality effect differs between subgroups and provides a formal probabilistic assessment of the degree of heterogeneity.</w:t>
      </w:r>
    </w:p>
    <w:tbl>
      <w:tblPr>
        <w:tblStyle w:val="Table"/>
        <w:tblW w:type="pct" w:w="5000"/>
        <w:tblLayout w:type="fixed"/>
        <w:tblLook w:firstRow="0" w:lastRow="0" w:firstColumn="0" w:lastColumn="0" w:noHBand="0" w:noVBand="0" w:val="0000"/>
      </w:tblPr>
      <w:tblGrid>
        <w:gridCol w:w="7920"/>
      </w:tblGrid>
      <w:tr>
        <w:tc>
          <w:tcPr/>
          <w:bookmarkStart w:id="186" w:name="tbl-subgroup-interactions"/>
          <w:p>
            <w:pPr>
              <w:jc w:val="center"/>
            </w:pPr>
            <w:pPr>
              <w:jc w:val="left"/>
              <w:spacing w:before="200"/>
              <w:pStyle w:val="ImageCaption"/>
            </w:pPr>
            <w:r>
              <w:t xml:space="preserve">Table 10: Subgroup Analysis of Hemispheric Laterality and Neurosurgical Intervention with Formal Interaction Tests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aOR (95% CrI)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difference (aOR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 (aOR &gt;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Percentage of posterior within ROPE</w:t>
                  </w:r>
                  <w:r>
                    <w:rPr>
                      <w:vertAlign w:val="superscript"/>
                      <w:i/>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Interaction ROR (95% CrI)</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Probability subgroup aOR exceeds reference aOR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ICH Location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Basal Ganglia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 (6.2%)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 (1.20 - 1.90)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Lobar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 (7.7%)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 (1.34 - 2.38)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(0.85 - 1.65)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Thalamus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 (1.06 - 2.48)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(0.64 - 1.56)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ATACH-2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(1.24 - 2.84)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 (9.2%)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 (1.25 - 2.14)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(0.50 - 1.39)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aOR = adjusted odds ratio, CrI = 95% credible interval. Reference Category: Left Hemisphere Laterality</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ROPE = region of practical equivalence, defined as 0.95 to 1.05</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default">Ratio of Odds Ratios (ROR). Represents how many times larger the laterality effect (aOR) is in this subgroup compared to the Reference subgroup.</w:t>
                  </w:r>
                </w:p>
              </w:tc>
            </w:tr>
          </w:tbl>
          <w:bookmarkEnd w:id="186"/>
        </w:tc>
      </w:tr>
    </w:tbl>
    <w:p>
      <w:pPr>
        <w:pStyle w:val="BodyText"/>
      </w:pPr>
      <w:r>
        <w:t xml:space="preserve">The laterality association with neurosurgical intervention was directionally consistent across ICH location and study subgroups. While the point estimates suggested a potentially larger laterality effect for lobar hemorrhages relative to basal ganglia hemorrhages, the interaction ROR credible intervals were wide and included 1, indicating that the observed subgroup differences were not statistically distinguishable. Similarly, the laterality effect was consistent between the ATACH-2 and ERICH cohorts, with no evidence of meaningful effect modification by study source.</w:t>
      </w:r>
    </w:p>
    <w:bookmarkEnd w:id="187"/>
    <w:bookmarkStart w:id="194" w:name="table-2-with-different-priors"/>
    <w:p>
      <w:pPr>
        <w:pStyle w:val="Heading3"/>
      </w:pPr>
      <w:r>
        <w:t xml:space="preserve">Table 2 with Different Priors</w:t>
      </w:r>
    </w:p>
    <w:bookmarkStart w:id="189" w:name="left-hemisphere-prior-1"/>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188" w:name="tbl-2-left-prior"/>
          <w:p>
            <w:pPr>
              <w:jc w:val="center"/>
            </w:pPr>
            <w:pPr>
              <w:jc w:val="left"/>
              <w:spacing w:before="200"/>
              <w:pStyle w:val="ImageCaption"/>
            </w:pPr>
            <w:r>
              <w:t xml:space="preserve">Table 11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(1.12 - 1.71)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(0.97 - 1.3)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(0.64 - 1.04)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(0.67 - 1.37)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(0.74 - 1.08)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0.89 (0.65 - 1.22)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(0.82 - 1.13)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88"/>
        </w:tc>
      </w:tr>
    </w:tbl>
    <w:bookmarkEnd w:id="189"/>
    <w:bookmarkStart w:id="191" w:name="right-hemisphere-prior-1"/>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190" w:name="tbl-2-right-prior"/>
          <w:p>
            <w:pPr>
              <w:jc w:val="center"/>
            </w:pPr>
            <w:pPr>
              <w:jc w:val="left"/>
              <w:spacing w:before="200"/>
              <w:pStyle w:val="ImageCaption"/>
            </w:pPr>
            <w:r>
              <w:t xml:space="preserve">Table 12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(1.26 - 1.93)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(1.04 - 1.39)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(0.79 - 1.32)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(0.85 - 1.75)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(0.81 - 1.18)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(0.76 - 1.41)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(0.88 - 1.21)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90"/>
        </w:tc>
      </w:tr>
    </w:tbl>
    <w:bookmarkEnd w:id="191"/>
    <w:bookmarkStart w:id="193" w:name="diffuse-prior-1"/>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192" w:name="tbl-2-flat-prior"/>
          <w:p>
            <w:pPr>
              <w:jc w:val="center"/>
            </w:pPr>
            <w:pPr>
              <w:jc w:val="left"/>
              <w:spacing w:before="200"/>
              <w:pStyle w:val="ImageCaption"/>
            </w:pPr>
            <w:r>
              <w:t xml:space="preserve">Table 13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(1.33 - 2.26)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 (1.04 - 1.46)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0.94 (0.71 - 1.27)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(0.61 - 2.21)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(0.59 - 1.36)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40.4%</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92"/>
        </w:tc>
      </w:tr>
    </w:tbl>
    <w:bookmarkEnd w:id="193"/>
    <w:bookmarkEnd w:id="194"/>
    <w:bookmarkStart w:id="201" w:name="table-3-with-different-priors"/>
    <w:p>
      <w:pPr>
        <w:pStyle w:val="Heading3"/>
      </w:pPr>
      <w:r>
        <w:t xml:space="preserve">Table 3 with Different Priors</w:t>
      </w:r>
    </w:p>
    <w:bookmarkStart w:id="196" w:name="left-hemisphere-prior-2"/>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195" w:name="tbl-4-left-prior"/>
          <w:p>
            <w:pPr>
              <w:jc w:val="center"/>
            </w:pPr>
            <w:pPr>
              <w:jc w:val="left"/>
              <w:spacing w:before="200"/>
              <w:pStyle w:val="ImageCaption"/>
            </w:pPr>
            <w:r>
              <w:t xml:space="preserve">Table 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(-3.7 - 0.0)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56.6%</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EQ-VAS). Models are adjusted for age, admission GCS, ICH location, ICH volume, IVH, and study (as random intercept); Reference Category: Left Hemisphere. ROPE indicates region of practical equivalence (0.95 to 1.05 for ordinal; ± 2 points for EQ-VAS). For EQ-VAS,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5"/>
        </w:tc>
      </w:tr>
    </w:tbl>
    <w:bookmarkEnd w:id="196"/>
    <w:bookmarkStart w:id="198" w:name="right-hemisphere-prior-2"/>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197" w:name="tbl-4-right-prior"/>
          <w:p>
            <w:pPr>
              <w:jc w:val="center"/>
            </w:pPr>
            <w:pPr>
              <w:jc w:val="left"/>
              <w:spacing w:before="200"/>
              <w:pStyle w:val="ImageCaption"/>
            </w:pPr>
            <w:r>
              <w:t xml:space="preserve">Table 15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(1.01 - 1.10)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(1.00 - 1.09)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(-3.3 - 0.4)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70.9%</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EQ-VAS). Models are adjusted for age, admission GCS, ICH location, ICH volume, IVH, and study (as random intercept); Reference Category: Left Hemisphere. ROPE indicates region of practical equivalence (0.95 to 1.05 for ordinal; ± 2 points for EQ-VAS). For EQ-VAS,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7"/>
        </w:tc>
      </w:tr>
    </w:tbl>
    <w:bookmarkEnd w:id="198"/>
    <w:bookmarkStart w:id="200" w:name="diffuse-prior-2"/>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199" w:name="tbl-4-flat-prior"/>
          <w:p>
            <w:pPr>
              <w:jc w:val="center"/>
            </w:pPr>
            <w:pPr>
              <w:jc w:val="left"/>
              <w:spacing w:before="200"/>
              <w:pStyle w:val="ImageCaption"/>
            </w:pPr>
            <w:r>
              <w:t xml:space="preserve">Table 16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62.5%</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EQ-VAS). Models are adjusted for age, admission GCS, ICH location, ICH volume, IVH, and study (as random intercept); Reference Category: Left Hemisphere. ROPE indicates region of practical equivalence (0.95 to 1.05 for ordinal; ± 2 points for EQ-VAS). For EQ-VAS,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9"/>
        </w:tc>
      </w:tr>
    </w:tbl>
    <w:bookmarkEnd w:id="200"/>
    <w:bookmarkEnd w:id="201"/>
    <w:bookmarkStart w:id="204" w:name="complete-case-sensitivity-analysis"/>
    <w:p>
      <w:pPr>
        <w:pStyle w:val="Heading3"/>
      </w:pPr>
      <w:r>
        <w:t xml:space="preserve">Complete-Case Sensitivity Analysis</w:t>
      </w:r>
    </w:p>
    <w:p>
      <w:pPr>
        <w:pStyle w:val="FirstParagraph"/>
      </w:pPr>
      <w:r>
        <w:t xml:space="preserve">The primary analysis used multiple imputation by chained equations (MICE) with 20 imputed datasets, as described in the main manuscript. As a sensitivity analysis, we repeated the primary models using a complete-case approach (excluding patients with missing outcomes) under the neutral prior with the adjusted covariate set. These models were fitted to the complete-case data for all primary, secondary, and functional outcomes. All models were fitted using Markov Chain Monte Carlo (MCMC) with 4 chains and 5,000 iterations per chain (including a warmup period of 1,000 iterations).</w:t>
      </w:r>
    </w:p>
    <w:tbl>
      <w:tblPr>
        <w:tblStyle w:val="Table"/>
        <w:tblW w:type="pct" w:w="5000"/>
        <w:tblLayout w:type="fixed"/>
        <w:tblLook w:firstRow="0" w:lastRow="0" w:firstColumn="0" w:lastColumn="0" w:noHBand="0" w:noVBand="0" w:val="0000"/>
      </w:tblPr>
      <w:tblGrid>
        <w:gridCol w:w="7920"/>
      </w:tblGrid>
      <w:tr>
        <w:tc>
          <w:tcPr/>
          <w:bookmarkStart w:id="202" w:name="tbl-2-complete-case-sensitivity"/>
          <w:p>
            <w:pPr>
              <w:jc w:val="center"/>
            </w:pPr>
            <w:pPr>
              <w:jc w:val="left"/>
              <w:spacing w:before="200"/>
              <w:pStyle w:val="ImageCaption"/>
            </w:pPr>
            <w:r>
              <w:t xml:space="preserve">Table 17: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(0.66 - 1.94)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 (0.64 - 1.34)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202"/>
        </w:tc>
      </w:tr>
    </w:tbl>
    <w:tbl>
      <w:tblPr>
        <w:tblStyle w:val="Table"/>
        <w:tblW w:type="pct" w:w="5000"/>
        <w:tblLayout w:type="fixed"/>
        <w:tblLook w:firstRow="0" w:lastRow="0" w:firstColumn="0" w:lastColumn="0" w:noHBand="0" w:noVBand="0" w:val="0000"/>
      </w:tblPr>
      <w:tblGrid>
        <w:gridCol w:w="7920"/>
      </w:tblGrid>
      <w:tr>
        <w:tc>
          <w:tcPr/>
          <w:bookmarkStart w:id="203" w:name="tbl-4-complete-case-sensitivity"/>
          <w:p>
            <w:pPr>
              <w:jc w:val="center"/>
            </w:pPr>
            <w:pPr>
              <w:jc w:val="left"/>
              <w:spacing w:before="200"/>
              <w:pStyle w:val="ImageCaption"/>
            </w:pPr>
            <w:r>
              <w:t xml:space="preserve">Table 18: Functional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(1.02 - 1.07)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(1.02 - 1.06)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(-3.4 - 0.3)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69.2%</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EQ-VAS). Models are adjusted for age, admission GCS, ICH location, ICH volume, IVH, and study (as random intercept); Reference Category: Left Hemisphere. ROPE indicates region of practical equivalence (0.95 to 1.05 for ordinal; ± 2 points for EQ-VAS). For EQ-VAS,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203"/>
        </w:tc>
      </w:tr>
    </w:tbl>
    <w:bookmarkEnd w:id="204"/>
    <w:bookmarkStart w:id="206" w:name="X4e88bd9f1bd9c8616b387592e093bccc624350b"/>
    <w:p>
      <w:pPr>
        <w:pStyle w:val="Heading3"/>
      </w:pPr>
      <w:r>
        <w:t xml:space="preserve">Site-Level Clustering Sensitivity Analysis</w:t>
      </w:r>
    </w:p>
    <w:p>
      <w:pPr>
        <w:pStyle w:val="FirstParagraph"/>
      </w:pPr>
      <w:r>
        <w:t xml:space="preserve">Neurosurgical decision-making is highly influenced by local practice patterns, institutional resources, and surgeon availability. Our primary models included a random intercept for study (ATACH-2 versus ERICH) to account for systematic differences between the two cohorts, but this two-level random effect is unlikely to fully capture the heterogeneity in clinical practice across the many individual hospital sites within each study.</w:t>
      </w:r>
    </w:p>
    <w:p>
      <w:pPr>
        <w:pStyle w:val="BodyText"/>
      </w:pPr>
      <w:r>
        <w:t xml:space="preserve">Ideally, we would have included a random intercept for hospital site in all models. However, site-level identifiers were only available for the ATACH-2 cohort and were not included in the ERICH dataset. To assess the potential impact of site-level clustering on our primary finding, we performed a sensitivity analysis restricted to the ATACH-2 cohort, where we fitted two versions of the primary model for neurosurgical intervention:</w:t>
      </w:r>
    </w:p>
    <w:p>
      <w:pPr>
        <w:numPr>
          <w:ilvl w:val="0"/>
          <w:numId w:val="1002"/>
        </w:numPr>
      </w:pPr>
      <w:r>
        <w:rPr>
          <w:b/>
          <w:bCs/>
        </w:rPr>
        <w:t xml:space="preserve">Base model</w:t>
      </w:r>
      <w:r>
        <w:t xml:space="preserve">: The same model specification as the primary analysis (adjusted for ICH location, age, GCS, ICH volume, IVH, and an ICH laterality-by-location interaction) but without any random intercept, since ATACH-2 is a single study.</w:t>
      </w:r>
    </w:p>
    <w:p>
      <w:pPr>
        <w:numPr>
          <w:ilvl w:val="0"/>
          <w:numId w:val="1002"/>
        </w:numPr>
      </w:pPr>
      <w:r>
        <w:rPr>
          <w:b/>
          <w:bCs/>
        </w:rPr>
        <w:t xml:space="preserve">Site random-effect model</w:t>
      </w:r>
      <w:r>
        <w:t xml:space="preserve">: The same model specification with the addition of a random intercept for hospital site, allowing the baseline probability of neurosurgical intervention to vary across sites.</w:t>
      </w:r>
    </w:p>
    <w:p>
      <w:pPr>
        <w:pStyle w:val="FirstParagraph"/>
      </w:pPr>
      <w:r>
        <w:t xml:space="preserve">Both models were fitted using multiple imputation (20 imputed datasets) with the neutral prior under the adjusted covariate set. The table below compares the posterior estimates for the association between hemispheric laterality and neurosurgical intervention from both models.</w:t>
      </w:r>
    </w:p>
    <w:tbl>
      <w:tblPr>
        <w:tblStyle w:val="Table"/>
        <w:tblW w:type="pct" w:w="5000"/>
        <w:tblLayout w:type="fixed"/>
        <w:tblLook w:firstRow="0" w:lastRow="0" w:firstColumn="0" w:lastColumn="0" w:noHBand="0" w:noVBand="0" w:val="0000"/>
      </w:tblPr>
      <w:tblGrid>
        <w:gridCol w:w="7920"/>
      </w:tblGrid>
      <w:tr>
        <w:tc>
          <w:tcPr/>
          <w:bookmarkStart w:id="205" w:name="tbl-atach-site-sensitivity"/>
          <w:p>
            <w:pPr>
              <w:jc w:val="center"/>
            </w:pPr>
            <w:pPr>
              <w:jc w:val="left"/>
              <w:spacing w:before="200"/>
              <w:pStyle w:val="ImageCaption"/>
            </w:pPr>
            <w:r>
              <w:t xml:space="preserve">Table 19: ATACH-2 Sensitivity Analysis: Association of Hemispheric Laterality with Neurosurgical Intervention With and Without Site-Level Random Intercept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ATACH-2 Model Variants</w: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aOR (95% CrI)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Probability of difference (aOR &gt;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Probability of a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(Base Model)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(1.31 - 3.76)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(Site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 (1.10 - 3.16)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aOR = adjusted odds ratio, CrI = 95% credible interval.</w:t>
                  </w:r>
                </w:p>
              </w:tc>
            </w:tr>
          </w:tbl>
          <w:bookmarkEnd w:id="205"/>
        </w:tc>
      </w:tr>
    </w:tbl>
    <w:p>
      <w:pPr>
        <w:pStyle w:val="BodyText"/>
      </w:pPr>
      <w:r>
        <w:t xml:space="preserve">Inclusion of the site-level random intercept modestly attenuated the point estimate for the laterality association, which is expected given the additional variance component and the smaller sample size of the ATACH-2 cohort alone. However, the direction, magnitude, and posterior probability of the association remained consistent with the primary analysis, suggesting that site-level clustering does not materially alter the principal finding.</w:t>
      </w:r>
    </w:p>
    <w:p>
      <w:r>
        <w:br w:type="page"/>
      </w:r>
    </w:p>
    <w:bookmarkEnd w:id="206"/>
    <w:bookmarkEnd w:id="207"/>
    <w:bookmarkStart w:id="217" w:name="references-and-software-bibliography"/>
    <w:p>
      <w:pPr>
        <w:pStyle w:val="Heading2"/>
      </w:pPr>
      <w:r>
        <w:t xml:space="preserve">References and Software Bibliography</w:t>
      </w:r>
    </w:p>
    <w:p>
      <w:pPr>
        <w:pStyle w:val="FirstParagraph"/>
      </w:pPr>
      <w:r>
        <w:t xml:space="preserve">The statistical analysis and data processing for this manuscript were conducted using the R programming language. To facilitate reproducibility and to credit the developers of the open-source tools utilized in this research, a complete software bibliography was automatically generated using the</w:t>
      </w:r>
      <w:r>
        <w:t xml:space="preserve"> </w:t>
      </w:r>
      <w:r>
        <w:rPr>
          <w:rStyle w:val="VerbatimChar"/>
        </w:rPr>
        <w:t xml:space="preserve">softbib</w:t>
      </w:r>
      <w:r>
        <w:t xml:space="preserve"> </w:t>
      </w:r>
      <w:r>
        <w:t xml:space="preserve">package.</w:t>
      </w:r>
    </w:p>
    <w:bookmarkStart w:id="216" w:name="refs"/>
    <w:bookmarkStart w:id="209" w:name="ref-tennantUseDirectedAcyclic2021"/>
    <w:p>
      <w:pPr>
        <w:pStyle w:val="Bibliography"/>
      </w:pPr>
      <w:r>
        <w:t xml:space="preserve">1.</w:t>
      </w:r>
      <w:r>
        <w:t xml:space="preserve"> </w:t>
      </w:r>
      <w:r>
        <w:t xml:space="preserve">	</w:t>
      </w:r>
      <w:r>
        <w:t xml:space="preserve">Tennant PWG, Murray EJ, Arnold KF, Berrie L, Fox MP, Gadd SC, Harrison WJ, Keeble C, Ranker LR, Textor J, et al.</w:t>
      </w:r>
      <w:r>
        <w:t xml:space="preserve"> </w:t>
      </w:r>
      <w:hyperlink r:id="rId208">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 J. Epidemiol.</w:t>
      </w:r>
      <w:r>
        <w:t xml:space="preserve"> 2021;50:620–632.</w:t>
      </w:r>
      <w:r>
        <w:t xml:space="preserve"> </w:t>
      </w:r>
    </w:p>
    <w:bookmarkEnd w:id="209"/>
    <w:bookmarkStart w:id="211" w:name="ref-zampieriUsingBayesianMethods2021"/>
    <w:p>
      <w:pPr>
        <w:pStyle w:val="Bibliography"/>
      </w:pPr>
      <w:r>
        <w:t xml:space="preserve">2.</w:t>
      </w:r>
      <w:r>
        <w:t xml:space="preserve"> </w:t>
      </w:r>
      <w:r>
        <w:t xml:space="preserve">	</w:t>
      </w:r>
      <w:r>
        <w:t xml:space="preserve">Zampieri FG, Casey JD, Shankar-Hari M, Harrell FE, Harhay MO.</w:t>
      </w:r>
      <w:r>
        <w:t xml:space="preserve"> </w:t>
      </w:r>
      <w:hyperlink r:id="rId210">
        <w:r>
          <w:rPr>
            <w:rStyle w:val="Hyperlink"/>
          </w:rPr>
          <w:t xml:space="preserve">Using</w:t>
        </w:r>
        <w:r>
          <w:rPr>
            <w:rStyle w:val="Hyperlink"/>
          </w:rPr>
          <w:t xml:space="preserve"> </w:t>
        </w:r>
        <w:r>
          <w:rPr>
            <w:rStyle w:val="Hyperlink"/>
          </w:rPr>
          <w:t xml:space="preserve">Bayesian Methods</w:t>
        </w:r>
        <w:r>
          <w:rPr>
            <w:rStyle w:val="Hyperlink"/>
          </w:rPr>
          <w:t xml:space="preserve"> </w:t>
        </w:r>
        <w:r>
          <w:rPr>
            <w:rStyle w:val="Hyperlink"/>
          </w:rPr>
          <w:t xml:space="preserve">to</w:t>
        </w:r>
        <w:r>
          <w:rPr>
            <w:rStyle w:val="Hyperlink"/>
          </w:rPr>
          <w:t xml:space="preserve"> </w:t>
        </w:r>
        <w:r>
          <w:rPr>
            <w:rStyle w:val="Hyperlink"/>
          </w:rPr>
          <w:t xml:space="preserve">Augment</w:t>
        </w:r>
        <w:r>
          <w:rPr>
            <w:rStyle w:val="Hyperlink"/>
          </w:rPr>
          <w:t xml:space="preserve"> </w:t>
        </w:r>
        <w:r>
          <w:rPr>
            <w:rStyle w:val="Hyperlink"/>
          </w:rPr>
          <w:t xml:space="preserve">the</w:t>
        </w:r>
        <w:r>
          <w:rPr>
            <w:rStyle w:val="Hyperlink"/>
          </w:rPr>
          <w:t xml:space="preserve"> </w:t>
        </w:r>
        <w:r>
          <w:rPr>
            <w:rStyle w:val="Hyperlink"/>
          </w:rPr>
          <w:t xml:space="preserve">Interpretation</w:t>
        </w:r>
        <w:r>
          <w:rPr>
            <w:rStyle w:val="Hyperlink"/>
          </w:rPr>
          <w:t xml:space="preserve"> </w:t>
        </w:r>
        <w:r>
          <w:rPr>
            <w:rStyle w:val="Hyperlink"/>
          </w:rPr>
          <w:t xml:space="preserve">of</w:t>
        </w:r>
        <w:r>
          <w:rPr>
            <w:rStyle w:val="Hyperlink"/>
          </w:rPr>
          <w:t xml:space="preserve"> </w:t>
        </w:r>
        <w:r>
          <w:rPr>
            <w:rStyle w:val="Hyperlink"/>
          </w:rPr>
          <w:t xml:space="preserve">Critical Care Trials</w:t>
        </w:r>
        <w:r>
          <w:rPr>
            <w:rStyle w:val="Hyperlink"/>
          </w:rPr>
          <w:t xml:space="preserve">.</w:t>
        </w:r>
        <w:r>
          <w:rPr>
            <w:rStyle w:val="Hyperlink"/>
          </w:rPr>
          <w:t xml:space="preserve"> </w:t>
        </w:r>
        <w:r>
          <w:rPr>
            <w:rStyle w:val="Hyperlink"/>
          </w:rPr>
          <w:t xml:space="preserve">An Overview</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Example Reanalysis</w:t>
        </w:r>
        <w:r>
          <w:rPr>
            <w:rStyle w:val="Hyperlink"/>
          </w:rPr>
          <w:t xml:space="preserve"> </w:t>
        </w:r>
        <w:r>
          <w:rPr>
            <w:rStyle w:val="Hyperlink"/>
          </w:rPr>
          <w:t xml:space="preserve">of the</w:t>
        </w:r>
        <w:r>
          <w:rPr>
            <w:rStyle w:val="Hyperlink"/>
          </w:rPr>
          <w:t xml:space="preserve"> </w:t>
        </w:r>
        <w:r>
          <w:rPr>
            <w:rStyle w:val="Hyperlink"/>
          </w:rPr>
          <w:t xml:space="preserve">Alveolar Recruitment</w:t>
        </w:r>
        <w:r>
          <w:rPr>
            <w:rStyle w:val="Hyperlink"/>
          </w:rPr>
          <w:t xml:space="preserve"> </w:t>
        </w:r>
        <w:r>
          <w:rPr>
            <w:rStyle w:val="Hyperlink"/>
          </w:rPr>
          <w:t xml:space="preserve">for</w:t>
        </w:r>
        <w:r>
          <w:rPr>
            <w:rStyle w:val="Hyperlink"/>
          </w:rPr>
          <w:t xml:space="preserve"> </w:t>
        </w:r>
        <w:r>
          <w:rPr>
            <w:rStyle w:val="Hyperlink"/>
          </w:rPr>
          <w:t xml:space="preserve">Acute Respiratory Distress Syndrome Trial</w:t>
        </w:r>
      </w:hyperlink>
      <w:r>
        <w:t xml:space="preserve">.</w:t>
      </w:r>
      <w:r>
        <w:t xml:space="preserve"> </w:t>
      </w:r>
      <w:r>
        <w:rPr>
          <w:i/>
          <w:iCs/>
        </w:rPr>
        <w:t xml:space="preserve">Am. J. Respir. Crit. Care Med.</w:t>
      </w:r>
      <w:r>
        <w:t xml:space="preserve"> 2021;203:543–552.</w:t>
      </w:r>
      <w:r>
        <w:t xml:space="preserve"> </w:t>
      </w:r>
    </w:p>
    <w:bookmarkEnd w:id="211"/>
    <w:bookmarkStart w:id="213" w:name="Xfbc06ab4e8a143dd15dec8dfd06cc82cc01ab3c"/>
    <w:p>
      <w:pPr>
        <w:pStyle w:val="Bibliography"/>
      </w:pPr>
      <w:r>
        <w:t xml:space="preserve">3.</w:t>
      </w:r>
      <w:r>
        <w:t xml:space="preserve"> </w:t>
      </w:r>
      <w:r>
        <w:t xml:space="preserve">	</w:t>
      </w:r>
      <w:r>
        <w:t xml:space="preserve">Kruschke JK.</w:t>
      </w:r>
      <w:r>
        <w:t xml:space="preserve"> </w:t>
      </w:r>
      <w:hyperlink r:id="rId212">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 Hum. Behav.</w:t>
      </w:r>
      <w:r>
        <w:t xml:space="preserve"> 2021;5:1282–1291.</w:t>
      </w:r>
      <w:r>
        <w:t xml:space="preserve"> </w:t>
      </w:r>
    </w:p>
    <w:bookmarkEnd w:id="213"/>
    <w:bookmarkStart w:id="215" w:name="ref-gelmanBayesianWorkflow2020"/>
    <w:p>
      <w:pPr>
        <w:pStyle w:val="Bibliography"/>
      </w:pPr>
      <w:r>
        <w:t xml:space="preserve">4.</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[Internet]. 2020 [cited 2024 June 26];Available from:</w:t>
      </w:r>
      <w:r>
        <w:t xml:space="preserve"> </w:t>
      </w:r>
      <w:hyperlink r:id="rId214">
        <w:r>
          <w:rPr>
            <w:rStyle w:val="Hyperlink"/>
          </w:rPr>
          <w:t xml:space="preserve">https://arxiv.org/abs/2011.01808</w:t>
        </w:r>
      </w:hyperlink>
    </w:p>
    <w:bookmarkEnd w:id="215"/>
    <w:bookmarkEnd w:id="216"/>
    <w:bookmarkEnd w:id="217"/>
    <w:bookmarkEnd w:id="218"/>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Liberation Serif" w:cs="" w:cstheme="majorBidi" w:eastAsia="" w:eastAsiaTheme="majorEastAsia" w:hAnsi="Liberation Serif"/>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Liberation Serif" w:cs="" w:cstheme="majorBidi" w:eastAsia="" w:eastAsiaTheme="majorEastAsia" w:hAnsi="Liberation Serif"/>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Charactersuser" w:type="character">
    <w:name w:val="Footnote Characters (use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Charactersuser" w:type="character">
    <w:name w:val="Endnote Characters (user)"/>
    <w:qFormat/>
    <w:rPr>
      <w:vertAlign w:val="superscript"/>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erif" w:cs="Nunito ExtraLight" w:eastAsia="Nunito ExtraLight" w:hAnsi="Liberation Serif"/>
      <w:sz w:val="28"/>
      <w:szCs w:val="28"/>
    </w:rPr>
  </w:style>
  <w:style w:styleId="BodyText" w:type="paragraph">
    <w:name w:val="Body Text"/>
    <w:basedOn w:val="Normal"/>
    <w:link w:val="BodyTextChar"/>
    <w:qFormat/>
    <w:pPr>
      <w:spacing w:after="590" w:before="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Liberation Serif" w:cs="" w:cstheme="majorBidi" w:eastAsia="" w:eastAsiaTheme="majorEastAsia" w:hAnsi="Liberation Serif"/>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suppressAutoHyphens w:val="true"/>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91" Target="media/rId91.png" /><Relationship Type="http://schemas.openxmlformats.org/officeDocument/2006/relationships/image" Id="rId119" Target="media/rId119.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3" Target="media/rId123.png" /><Relationship Type="http://schemas.openxmlformats.org/officeDocument/2006/relationships/image" Id="rId75" Target="media/rId75.png" /><Relationship Type="http://schemas.openxmlformats.org/officeDocument/2006/relationships/image" Id="rId99" Target="media/rId99.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60" Target="media/rId160.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80" Target="media/rId180.png" /><Relationship Type="http://schemas.openxmlformats.org/officeDocument/2006/relationships/image" Id="rId132" Target="media/rId132.png" /><Relationship Type="http://schemas.openxmlformats.org/officeDocument/2006/relationships/image" Id="rId156" Target="media/rId156.png" /><Relationship Type="http://schemas.openxmlformats.org/officeDocument/2006/relationships/image" Id="rId128" Target="media/rId128.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hyperlink" Id="rId214" Target="https://arxiv.org/abs/2011.01808" TargetMode="External" /><Relationship Type="http://schemas.openxmlformats.org/officeDocument/2006/relationships/hyperlink" Id="rId212" Target="https://doi.org/10.1038/s41562-021-01177-7" TargetMode="External" /><Relationship Type="http://schemas.openxmlformats.org/officeDocument/2006/relationships/hyperlink" Id="rId208" Target="https://doi.org/10.1093/ije/dyaa213" TargetMode="External" /><Relationship Type="http://schemas.openxmlformats.org/officeDocument/2006/relationships/hyperlink" Id="rId210" Target="https://doi.org/10.1164/rccm.202006-2381CP" TargetMode="External" /></Relationships>
</file>

<file path=word/_rels/footnotes.xml.rels><?xml version="1.0" encoding="UTF-8"?><Relationships xmlns="http://schemas.openxmlformats.org/package/2006/relationships"><Relationship Type="http://schemas.openxmlformats.org/officeDocument/2006/relationships/hyperlink" Id="rId214" Target="https://arxiv.org/abs/2011.01808" TargetMode="External" /><Relationship Type="http://schemas.openxmlformats.org/officeDocument/2006/relationships/hyperlink" Id="rId212" Target="https://doi.org/10.1038/s41562-021-01177-7" TargetMode="External" /><Relationship Type="http://schemas.openxmlformats.org/officeDocument/2006/relationships/hyperlink" Id="rId208" Target="https://doi.org/10.1093/ije/dyaa213" TargetMode="External" /><Relationship Type="http://schemas.openxmlformats.org/officeDocument/2006/relationships/hyperlink" Id="rId210" Target="https://doi.org/10.1164/rccm.202006-2381CP"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LibreOffice/26.2.5.2$Linux_X86_64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Neurosurgery in ICH: A Post-Hoc Bayesian Analysis of ATACH-2 and ERICH</dc:title>
  <dc:creator/>
  <cp:keywords/>
  <dcterms:created xsi:type="dcterms:W3CDTF">2026-07-31T03:28:59Z</dcterms:created>
  <dcterms:modified xsi:type="dcterms:W3CDTF">2026-07-31T03:28:59Z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essage">
    <vt:lpwstr>False</vt:lpwstr>
  </property>
  <property fmtid="{D5CDD505-2E9C-101B-9397-08002B2CF9AE}" pid="14" name="toc-title">
    <vt:lpwstr>Table of contents</vt:lpwstr>
  </property>
</Properties>
</file>