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Outcome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aOR (95% CI)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Probability of any difference (aOR &gt; 1)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Probability of a substantial difference (aOR &gt; 1.2)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ROPE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Modified Rankin Score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1.18 (1.02 - 1.37)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EuroQOL - Mobility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1.44 (1.2 - 1.71)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EuroQOL - Self-Care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1.44 (1.2 - 1.72)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EuroQOL - Usual Activities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1.17 (0.98 - 1.38)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0.11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EuroQOL - Pain/Discomfort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1.24 (1.05 - 1.47)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EuroQOL - Anxiety/Depression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1.16 (0.97 - 1.39)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0.12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Euro VAS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0.95 (0.88 - 1.04)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0.87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0.00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0.52</w:t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aOR = adjusted odds ratio, CI = 95% credible interval; adjusted for age, admission GCS, ICH location, IVH, and study (as random intercept)</w:t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  <w:r>
              <w:rPr>
                <w:rFonts w:ascii="Calibri" w:hAnsi="Calibri"/>
                <w:sz w:val="20"/>
              </w:rPr>
              <w:t xml:space="default">ROPE = region of practical equivalence, defined as 0.95 &gt; aOR &gt; 1.05</w:t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3</w:t>
            </w:r>
            <w:r>
              <w:rPr>
                <w:rFonts w:ascii="Calibri" w:hAnsi="Calibri"/>
                <w:sz w:val="20"/>
              </w:rPr>
              <w:t xml:space="default">Probability of aOR &lt; 1</w:t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4</w:t>
            </w:r>
            <w:r>
              <w:rPr>
                <w:rFonts w:ascii="Calibri" w:hAnsi="Calibri"/>
                <w:sz w:val="20"/>
              </w:rPr>
              <w:t xml:space="default">Probability of aOR &lt; 0.8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2025-02-05T21:46:58Z</dcterms:created>
  <dcterms:modified xsi:type="dcterms:W3CDTF">2025-02-05T21:46:58Z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