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left"/>
        <w:rPr>
          <w:sz w:val="24"/>
          <w:szCs w:val="24"/>
        </w:rPr>
      </w:pPr>
      <w:r>
        <w:rPr>
          <w:sz w:val="24"/>
          <w:szCs w:val="24"/>
        </w:rPr>
        <w:t>Patients with Left Hemispheric Intracerebral Hemorrhage are Less Likely to Receive Neurosurgical Intervention</w:t>
      </w:r>
    </w:p>
    <w:p>
      <w:pPr>
        <w:pStyle w:val="Normal"/>
        <w:rPr/>
      </w:pPr>
      <w:r>
        <w:rPr/>
        <w:t>A Post Hoc Bayesian Analysis using data from ATACH-2 and ERICH</w:t>
      </w:r>
    </w:p>
    <w:p>
      <w:pPr>
        <w:pStyle w:val="Normal"/>
        <w:rPr/>
      </w:pPr>
      <w:r>
        <w:rPr/>
      </w:r>
    </w:p>
    <w:p>
      <w:pPr>
        <w:pStyle w:val="Normal"/>
        <w:rPr/>
      </w:pPr>
      <w:r>
        <w:rPr/>
      </w:r>
    </w:p>
    <w:p>
      <w:pPr>
        <w:pStyle w:val="Heading2"/>
        <w:rPr>
          <w:sz w:val="24"/>
          <w:szCs w:val="24"/>
        </w:rPr>
      </w:pPr>
      <w:bookmarkStart w:id="0" w:name="introduction"/>
      <w:r>
        <w:rPr>
          <w:sz w:val="24"/>
          <w:szCs w:val="24"/>
        </w:rPr>
        <w:t>Introduction</w:t>
      </w:r>
    </w:p>
    <w:p>
      <w:pPr>
        <w:pStyle w:val="FirstParagraph"/>
        <w:rPr>
          <w:sz w:val="24"/>
          <w:szCs w:val="24"/>
        </w:rPr>
      </w:pPr>
      <w:r>
        <w:rPr>
          <w:sz w:val="24"/>
          <w:szCs w:val="24"/>
        </w:rPr>
        <w:t>Intracerebral hemorrhage (ICH) remains a challenging disease, marked by its sudden onset, morbidity, and mortality.</w:t>
      </w:r>
      <w:r>
        <w:rPr>
          <w:sz w:val="24"/>
          <w:szCs w:val="24"/>
          <w:vertAlign w:val="superscript"/>
        </w:rPr>
        <w:t>1,2</w:t>
      </w:r>
      <w:r>
        <w:rPr>
          <w:sz w:val="24"/>
          <w:szCs w:val="24"/>
        </w:rPr>
        <w:t xml:space="preserve"> While management of ischemic stroke has advanced considerably over the last decade, the acute management of ICH remains limited to blood pressure control, coagulopathy reversal, and more perhaps surgical evacuation of hemorrhage.</w:t>
      </w:r>
      <w:r>
        <w:rPr>
          <w:sz w:val="24"/>
          <w:szCs w:val="24"/>
          <w:vertAlign w:val="superscript"/>
        </w:rPr>
        <w:t>3,4</w:t>
      </w:r>
      <w:r>
        <w:rPr>
          <w:sz w:val="24"/>
          <w:szCs w:val="24"/>
        </w:rPr>
        <w:t xml:space="preserve"> These efforts have focused on reducing mortality and preventing additional morbidity due to secondary injury.</w:t>
      </w:r>
    </w:p>
    <w:p>
      <w:pPr>
        <w:pStyle w:val="BodyText"/>
        <w:rPr>
          <w:sz w:val="24"/>
          <w:szCs w:val="24"/>
        </w:rPr>
      </w:pPr>
      <w:r>
        <w:rPr>
          <w:sz w:val="24"/>
          <w:szCs w:val="24"/>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rPr>
          <w:sz w:val="24"/>
          <w:szCs w:val="24"/>
        </w:rPr>
      </w:pPr>
      <w:r>
        <w:rPr>
          <w:sz w:val="24"/>
          <w:szCs w:val="24"/>
        </w:rPr>
        <w:t>Previous research involving patients with ischemic stroke provide evidence that those with right hemispheric injury present later to the hospital and may not be treated as frequently with thrombolytic therapy.</w:t>
      </w:r>
      <w:r>
        <w:rPr>
          <w:sz w:val="24"/>
          <w:szCs w:val="24"/>
          <w:vertAlign w:val="superscript"/>
        </w:rPr>
        <w:t>5–8</w:t>
      </w:r>
      <w:r>
        <w:rPr>
          <w:sz w:val="24"/>
          <w:szCs w:val="24"/>
        </w:rPr>
        <w:t xml:space="preserve"> 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sz w:val="24"/>
          <w:szCs w:val="24"/>
          <w:vertAlign w:val="superscript"/>
        </w:rPr>
        <w:t>9–12</w:t>
      </w:r>
    </w:p>
    <w:p>
      <w:pPr>
        <w:pStyle w:val="BodyText"/>
        <w:rPr>
          <w:sz w:val="24"/>
          <w:szCs w:val="24"/>
        </w:rPr>
      </w:pPr>
      <w:r>
        <w:rPr>
          <w:sz w:val="24"/>
          <w:szCs w:val="24"/>
        </w:rPr>
        <w:t>Amidst an increasing enthusiasm for surgical management of ICH</w:t>
      </w:r>
      <w:r>
        <w:rPr>
          <w:sz w:val="24"/>
          <w:szCs w:val="24"/>
          <w:vertAlign w:val="superscript"/>
        </w:rPr>
        <w:t>3,4,13</w:t>
      </w:r>
      <w:r>
        <w:rPr>
          <w:sz w:val="24"/>
          <w:szCs w:val="24"/>
        </w:rPr>
        <w:t>, it is important to understand if hemispheric lateralization affects surgical decision making, as it seems to do for ischemic stroke. We aimed to evaluate the effect of hemispheric lateralization of ICH on likelihood of receiving aggressive surgical intervention as well as it’s association with functional outcomes.</w:t>
      </w:r>
      <w:bookmarkEnd w:id="0"/>
    </w:p>
    <w:p>
      <w:pPr>
        <w:pStyle w:val="Heading2"/>
        <w:rPr>
          <w:sz w:val="24"/>
          <w:szCs w:val="24"/>
        </w:rPr>
      </w:pPr>
      <w:bookmarkStart w:id="1" w:name="methods"/>
      <w:r>
        <w:rPr>
          <w:sz w:val="24"/>
          <w:szCs w:val="24"/>
        </w:rPr>
        <w:t>Methods</w:t>
      </w:r>
    </w:p>
    <w:p>
      <w:pPr>
        <w:pStyle w:val="Heading3"/>
        <w:rPr>
          <w:sz w:val="24"/>
          <w:szCs w:val="24"/>
        </w:rPr>
      </w:pPr>
      <w:bookmarkStart w:id="2" w:name="study-design-and-participants"/>
      <w:r>
        <w:rPr>
          <w:sz w:val="24"/>
          <w:szCs w:val="24"/>
        </w:rPr>
        <w:t>Study Design and Participants</w:t>
      </w:r>
    </w:p>
    <w:p>
      <w:pPr>
        <w:pStyle w:val="FirstParagraph"/>
        <w:rPr>
          <w:sz w:val="24"/>
          <w:szCs w:val="24"/>
        </w:rPr>
      </w:pPr>
      <w:r>
        <w:rPr>
          <w:sz w:val="24"/>
          <w:szCs w:val="24"/>
        </w:rPr>
        <w:t>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and randomized them to either intensive blood pressure control (110-139 mm Hg) or standard blood pressure control (140-179 mm Hg). ERICH was a large, multicenter, prospective observational study conducted patients in the United States on patients admitted with ICH, with particular emphasis on recruitment of a racially and ethnically diverse cohort. The protocols and results of both studies have been previously published elsewhere</w:t>
      </w:r>
      <w:r>
        <w:rPr>
          <w:sz w:val="24"/>
          <w:szCs w:val="24"/>
          <w:vertAlign w:val="superscript"/>
        </w:rPr>
        <w:t>14,15</w:t>
      </w:r>
      <w:r>
        <w:rPr>
          <w:sz w:val="24"/>
          <w:szCs w:val="24"/>
        </w:rPr>
        <w:t>.</w:t>
      </w:r>
    </w:p>
    <w:p>
      <w:pPr>
        <w:pStyle w:val="BodyText"/>
        <w:rPr>
          <w:sz w:val="24"/>
          <w:szCs w:val="24"/>
        </w:rPr>
      </w:pPr>
      <w:r>
        <w:rPr>
          <w:sz w:val="24"/>
          <w:szCs w:val="24"/>
        </w:rPr>
        <w:t>We included all patients enrolled in these two studies with supratentorial location of ICH. We excluded patients with cerebellar or brainstem ICH as well as any patient with primary intraventricular hemorrhage (IVH).</w:t>
      </w:r>
    </w:p>
    <w:p>
      <w:pPr>
        <w:pStyle w:val="BodyText"/>
        <w:rPr>
          <w:sz w:val="24"/>
          <w:szCs w:val="24"/>
        </w:rPr>
      </w:pPr>
      <w:bookmarkStart w:id="3" w:name="study-design-and-participants"/>
      <w:r>
        <w:rPr>
          <w:sz w:val="24"/>
          <w:szCs w:val="24"/>
        </w:rPr>
        <w:t>The study was approved by the institutional review board of the Wake Forest School of Medicine (IRB00098198).</w:t>
      </w:r>
      <w:bookmarkEnd w:id="3"/>
    </w:p>
    <w:p>
      <w:pPr>
        <w:pStyle w:val="Heading3"/>
        <w:rPr>
          <w:sz w:val="24"/>
          <w:szCs w:val="24"/>
        </w:rPr>
      </w:pPr>
      <w:bookmarkStart w:id="4" w:name="exposures-and-outcomes"/>
      <w:r>
        <w:rPr>
          <w:sz w:val="24"/>
          <w:szCs w:val="24"/>
        </w:rPr>
        <w:t>Exposures and Outcomes</w:t>
      </w:r>
    </w:p>
    <w:p>
      <w:pPr>
        <w:pStyle w:val="FirstParagraph"/>
        <w:rPr>
          <w:sz w:val="24"/>
          <w:szCs w:val="24"/>
        </w:rPr>
      </w:pPr>
      <w:r>
        <w:rPr>
          <w:sz w:val="24"/>
          <w:szCs w:val="24"/>
        </w:rPr>
        <w:t>Our exposure was hemispheric laterality (left versus right). Our primary outcome was neurosurgical intervention as a binary variable defined as receiving a hematoma evacuation, decompressive craniectomy, or other craniotomy.</w:t>
      </w:r>
    </w:p>
    <w:p>
      <w:pPr>
        <w:pStyle w:val="BodyText"/>
        <w:rPr>
          <w:sz w:val="24"/>
          <w:szCs w:val="24"/>
        </w:rPr>
      </w:pPr>
      <w:r>
        <w:rPr>
          <w:sz w:val="24"/>
          <w:szCs w:val="24"/>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rPr>
          <w:sz w:val="24"/>
          <w:szCs w:val="24"/>
        </w:rPr>
      </w:pPr>
      <w:bookmarkStart w:id="5" w:name="exposures-and-outcomes"/>
      <w:r>
        <w:rPr>
          <w:sz w:val="24"/>
          <w:szCs w:val="24"/>
        </w:rPr>
        <w:t>Our primary functional outcome was modified Rankin score (mRS) at 90 days analyzed via ordinal regression. We also examined quality of life as assessed by the European Quality of Life-5 dimensions (EQ-5D) questionnaire.</w:t>
      </w:r>
      <w:bookmarkEnd w:id="5"/>
    </w:p>
    <w:p>
      <w:pPr>
        <w:pStyle w:val="Heading3"/>
        <w:rPr>
          <w:sz w:val="24"/>
          <w:szCs w:val="24"/>
        </w:rPr>
      </w:pPr>
      <w:bookmarkStart w:id="6" w:name="statistical-analysis"/>
      <w:r>
        <w:rPr>
          <w:sz w:val="24"/>
          <w:szCs w:val="24"/>
        </w:rPr>
        <w:t>Statistical Analysis</w:t>
      </w:r>
    </w:p>
    <w:p>
      <w:pPr>
        <w:pStyle w:val="FirstParagraph"/>
        <w:rPr>
          <w:sz w:val="24"/>
          <w:szCs w:val="24"/>
        </w:rPr>
      </w:pPr>
      <w:r>
        <w:rPr>
          <w:sz w:val="24"/>
          <w:szCs w:val="24"/>
        </w:rPr>
        <w:t>To estimate the effect of hemispheric laterality on the outcomes of interest, we fitted hierarchal Bayesian regression models adjusted for the specified covariates below. We also included the study that patient came from as a random intercept. 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which offer a more intuitive interpretation than frequentist confidence intervals. Finally, Bayesian modeling facilitates the estimation of posterior probabilities, allowing for direct probabilistic statements about hypotheses, such as the probability that an odds ratio is greater than 1, which is often of greater clinical relevance than a p-value.</w:t>
      </w:r>
      <w:r>
        <w:rPr>
          <w:sz w:val="24"/>
          <w:szCs w:val="24"/>
          <w:vertAlign w:val="superscript"/>
        </w:rPr>
        <w:t>16,17</w:t>
      </w:r>
    </w:p>
    <w:p>
      <w:pPr>
        <w:pStyle w:val="BodyText"/>
        <w:rPr>
          <w:sz w:val="24"/>
          <w:szCs w:val="24"/>
        </w:rPr>
      </w:pPr>
      <w:r>
        <w:rPr>
          <w:sz w:val="24"/>
          <w:szCs w:val="24"/>
        </w:rPr>
        <w:t>This report follows suggestions from the Bayesian Analysis Reporting Guidelines.</w:t>
      </w:r>
      <w:r>
        <w:rPr>
          <w:sz w:val="24"/>
          <w:szCs w:val="24"/>
          <w:vertAlign w:val="superscript"/>
        </w:rPr>
        <w:t>18</w:t>
      </w:r>
      <w:r>
        <w:rPr>
          <w:sz w:val="24"/>
          <w:szCs w:val="24"/>
        </w:rPr>
        <w:t xml:space="preserve"> For binary endpoints, hierarchal Bayesian logistic regression models were used. For ordinal endpoints, hierarchal Bayesian ordinal logisitic regression models were used. All analyses were performed in R version 4.4.2 (R Foundation for Statistical Computing, Vienna, Austria) using the ‘brms’ and ‘tidybayes’ packages.</w:t>
      </w:r>
    </w:p>
    <w:p>
      <w:pPr>
        <w:pStyle w:val="Heading4"/>
        <w:rPr>
          <w:sz w:val="24"/>
          <w:szCs w:val="24"/>
        </w:rPr>
      </w:pPr>
      <w:bookmarkStart w:id="7" w:name="covariate-selection"/>
      <w:r>
        <w:rPr>
          <w:sz w:val="24"/>
          <w:szCs w:val="24"/>
        </w:rPr>
        <w:t>Covariate Selection</w:t>
      </w:r>
    </w:p>
    <w:p>
      <w:pPr>
        <w:pStyle w:val="FirstParagraph"/>
        <w:rPr>
          <w:sz w:val="24"/>
          <w:szCs w:val="24"/>
        </w:rPr>
      </w:pPr>
      <w:r>
        <w:rPr>
          <w:sz w:val="24"/>
          <w:szCs w:val="24"/>
        </w:rPr>
        <w:t>We constructed directed acyclic graphs (DAGs) to model our causal assumptions and to appropriately select variables to minimize confounding and selection bias.</w:t>
      </w:r>
      <w:r>
        <w:rPr>
          <w:sz w:val="24"/>
          <w:szCs w:val="24"/>
          <w:vertAlign w:val="superscript"/>
        </w:rPr>
        <w:t>19–21</w:t>
      </w:r>
      <w:r>
        <w:rPr>
          <w:sz w:val="24"/>
          <w:szCs w:val="24"/>
        </w:rPr>
        <w:t xml:space="preserve"> Based on our specifications, we included the following covariates in our models: age, admission Glasgow coma score (GCS), ICH location (categorized as lobar, thalamic, or basal ganglia), baseline ICH volume (measured in milliliters), and presence of intraventricular hemorrhage (IVH). The DAGs used in the analyses are available in the supplementary material.</w:t>
      </w:r>
      <w:bookmarkEnd w:id="7"/>
    </w:p>
    <w:p>
      <w:pPr>
        <w:pStyle w:val="Heading4"/>
        <w:rPr>
          <w:sz w:val="24"/>
          <w:szCs w:val="24"/>
        </w:rPr>
      </w:pPr>
      <w:bookmarkStart w:id="8" w:name="prior-distribution-specification"/>
      <w:r>
        <w:rPr>
          <w:sz w:val="24"/>
          <w:szCs w:val="24"/>
        </w:rPr>
        <w:t>Prior Distribution Specification</w:t>
      </w:r>
    </w:p>
    <w:p>
      <w:pPr>
        <w:pStyle w:val="FirstParagraph"/>
        <w:rPr>
          <w:sz w:val="24"/>
          <w:szCs w:val="24"/>
        </w:rPr>
      </w:pPr>
      <w:bookmarkStart w:id="9" w:name="prior-distribution-specification"/>
      <w:r>
        <w:rPr>
          <w:sz w:val="24"/>
          <w:szCs w:val="24"/>
        </w:rPr>
        <w:t>We applied four sets of prior distributions for all models to assess the robustness of our findings. The first set was a neutral prior, centered on a log-odds ratio of 0, which corresponds to an odds ratio of 1 and assumes no difference in the outcome of interest between left and right hemispheric patients. The second and third sets were left hemisphere and right hemisphere priors, respectively, which were weakly informative priors that assumed a higher probability of the outcome occurring in the specified hemisphere. The final set was a flat prior, which assumes that all possible values for the model parameters are equally likely. This non-informative prior allows the data to dominate the posterior distribution and most closely approximates the assumptions of a frequentist analysis. More details on the rationale of prior specification and the specific parameters used for each prior distribution are included in the supplementary appendix.</w:t>
      </w:r>
      <w:bookmarkEnd w:id="9"/>
    </w:p>
    <w:p>
      <w:pPr>
        <w:pStyle w:val="Heading4"/>
        <w:rPr>
          <w:sz w:val="24"/>
          <w:szCs w:val="24"/>
        </w:rPr>
      </w:pPr>
      <w:bookmarkStart w:id="10" w:name="Xa47fa65c2b7f49382486b74e1c4ed3022604078"/>
      <w:r>
        <w:rPr>
          <w:sz w:val="24"/>
          <w:szCs w:val="24"/>
        </w:rPr>
        <w:t>Computation and Description of the Posterior Distribution</w:t>
      </w:r>
    </w:p>
    <w:p>
      <w:pPr>
        <w:pStyle w:val="FirstParagraph"/>
        <w:rPr>
          <w:sz w:val="24"/>
          <w:szCs w:val="24"/>
        </w:rPr>
      </w:pPr>
      <w:bookmarkStart w:id="11" w:name="Xa47fa65c2b7f49382486b74e1c4ed3022604078"/>
      <w:r>
        <w:rPr>
          <w:sz w:val="24"/>
          <w:szCs w:val="24"/>
        </w:rPr>
        <w:t>We report the following metrics for the effect of hemispheric laterality on the primary and secondary outcomes: 1) median odds ratio (OR) of the posterior distribution with 95% credible interval; 2) probability of any difference (P[OR] &gt; 1); 3) probability of a substantial difference (P[OR] &gt; 1.2) as defined by the study authors; 4) percent of the posterior distribution outside of the region of practical equivalence as defined by the study authors (ROPE; 0.95 &gt; P[OR] &gt; 1.05). A description of the rationale for these thresholds is available in the supplementary material.</w:t>
      </w:r>
      <w:bookmarkEnd w:id="11"/>
    </w:p>
    <w:p>
      <w:pPr>
        <w:pStyle w:val="Heading4"/>
        <w:rPr>
          <w:sz w:val="24"/>
          <w:szCs w:val="24"/>
        </w:rPr>
      </w:pPr>
      <w:bookmarkStart w:id="12" w:name="Xb6b655a891224ddee9981b292c43eac49eeddc4"/>
      <w:r>
        <w:rPr>
          <w:sz w:val="24"/>
          <w:szCs w:val="24"/>
        </w:rPr>
        <w:t>Missing Data Treatment and Sensitivity Analyses</w:t>
      </w:r>
    </w:p>
    <w:p>
      <w:pPr>
        <w:pStyle w:val="FirstParagraph"/>
        <w:rPr>
          <w:sz w:val="24"/>
          <w:szCs w:val="24"/>
        </w:rPr>
      </w:pPr>
      <w:r>
        <w:rPr>
          <w:sz w:val="24"/>
          <w:szCs w:val="24"/>
        </w:rPr>
        <w:t>For our primary analysis, we used a complete case approach. To assess the robustness of our findings, we conducted a sensitivity analysis using multiple imputation with chained equations (MICE) to address missing data for all covariates.</w:t>
      </w:r>
    </w:p>
    <w:p>
      <w:pPr>
        <w:pStyle w:val="BodyText"/>
        <w:rPr>
          <w:sz w:val="24"/>
          <w:szCs w:val="24"/>
        </w:rPr>
      </w:pPr>
      <w:bookmarkStart w:id="13" w:name="statistical-analysis"/>
      <w:bookmarkStart w:id="14" w:name="Xb6b655a891224ddee9981b292c43eac49eeddc4"/>
      <w:r>
        <w:rPr>
          <w:sz w:val="24"/>
          <w:szCs w:val="24"/>
        </w:rPr>
        <w:t>In addition to the missing data analysis, we analyzed our models using the four sets of prior distributions described above, which allowed us to examine the influence of prior choices on the posterior distributions. Further details on the methods and results of these sensitivity analyses are presented in the Supplementary Appendix.</w:t>
      </w:r>
      <w:bookmarkEnd w:id="13"/>
      <w:bookmarkEnd w:id="14"/>
    </w:p>
    <w:p>
      <w:pPr>
        <w:pStyle w:val="Heading3"/>
        <w:rPr>
          <w:sz w:val="24"/>
          <w:szCs w:val="24"/>
        </w:rPr>
      </w:pPr>
      <w:bookmarkStart w:id="15" w:name="data-availability-statement"/>
      <w:r>
        <w:rPr>
          <w:sz w:val="24"/>
          <w:szCs w:val="24"/>
        </w:rPr>
        <w:t>Data Availability Statement</w:t>
      </w:r>
    </w:p>
    <w:p>
      <w:pPr>
        <w:pStyle w:val="FirstParagraph"/>
        <w:rPr/>
      </w:pPr>
      <w:r>
        <w:rPr>
          <w:sz w:val="24"/>
          <w:szCs w:val="24"/>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 </w:t>
      </w:r>
      <w:hyperlink r:id="rId2">
        <w:r>
          <w:rPr>
            <w:rStyle w:val="Hyperlink"/>
            <w:sz w:val="24"/>
            <w:szCs w:val="24"/>
          </w:rPr>
          <w:t>https://github.com/nikhilpatelmd/ich-laterality</w:t>
        </w:r>
      </w:hyperlink>
      <w:r>
        <w:rPr>
          <w:sz w:val="24"/>
          <w:szCs w:val="24"/>
        </w:rPr>
        <w:t>.</w:t>
      </w:r>
      <w:bookmarkEnd w:id="1"/>
      <w:bookmarkEnd w:id="15"/>
    </w:p>
    <w:p>
      <w:pPr>
        <w:pStyle w:val="Heading2"/>
        <w:rPr>
          <w:sz w:val="24"/>
          <w:szCs w:val="24"/>
        </w:rPr>
      </w:pPr>
      <w:bookmarkStart w:id="16" w:name="results"/>
      <w:r>
        <w:rPr>
          <w:sz w:val="24"/>
          <w:szCs w:val="24"/>
        </w:rPr>
        <w:t>Results</w:t>
      </w:r>
    </w:p>
    <w:p>
      <w:pPr>
        <w:pStyle w:val="Heading3"/>
        <w:rPr>
          <w:sz w:val="24"/>
          <w:szCs w:val="24"/>
        </w:rPr>
      </w:pPr>
      <w:bookmarkStart w:id="17" w:name="baseline-characteristics"/>
      <w:r>
        <w:rPr>
          <w:sz w:val="24"/>
          <w:szCs w:val="24"/>
        </w:rPr>
        <w:t>Baseline Characteristics</w:t>
      </w:r>
    </w:p>
    <w:p>
      <w:pPr>
        <w:pStyle w:val="FirstParagraph"/>
        <w:rPr>
          <w:sz w:val="24"/>
          <w:szCs w:val="24"/>
        </w:rPr>
      </w:pPr>
      <w:bookmarkStart w:id="18" w:name="baseline-characteristics"/>
      <w:r>
        <w:rPr>
          <w:sz w:val="24"/>
          <w:szCs w:val="24"/>
        </w:rPr>
        <w:t>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bookmarkEnd w:id="18"/>
    </w:p>
    <w:p>
      <w:pPr>
        <w:pStyle w:val="Heading3"/>
        <w:rPr>
          <w:sz w:val="24"/>
          <w:szCs w:val="24"/>
        </w:rPr>
      </w:pPr>
      <w:bookmarkStart w:id="19" w:name="X1916834cd07f085dde90be7ab518c46c5d60659"/>
      <w:r>
        <w:rPr>
          <w:sz w:val="24"/>
          <w:szCs w:val="24"/>
        </w:rPr>
        <w:t>Hemispheric laterality and neurosurgical intervention</w:t>
      </w:r>
    </w:p>
    <w:p>
      <w:pPr>
        <w:pStyle w:val="FirstParagraph"/>
        <w:rPr>
          <w:sz w:val="24"/>
          <w:szCs w:val="24"/>
        </w:rPr>
      </w:pPr>
      <w:r>
        <w:rPr>
          <w:sz w:val="24"/>
          <w:szCs w:val="24"/>
        </w:rPr>
        <w:t>Associations between hemispheric laterality and primary and secondary outcomes are shown in Table 2. There were 86 (5.0%) with left hemispheric ICH who underwent neurosurgical intervention as compared to 144 (8.2%) with right hemispheric ICH (aOR 1.56, 95% credible interval 1.07 - 2.26). The posterior probability that the aOR was greater than 1 was 99%. The posterior probability of the aOR being greater than 1.2, indicating a substantial difference, was 92%. A very small portion of the posterior probability was inside of the ROPE (2%).</w:t>
      </w:r>
    </w:p>
    <w:p>
      <w:pPr>
        <w:pStyle w:val="BodyText"/>
        <w:rPr>
          <w:sz w:val="24"/>
          <w:szCs w:val="24"/>
        </w:rPr>
      </w:pPr>
      <w:bookmarkStart w:id="20" w:name="X1916834cd07f085dde90be7ab518c46c5d60659"/>
      <w:r>
        <w:rPr>
          <w:sz w:val="24"/>
          <w:szCs w:val="24"/>
        </w:rPr>
        <w:t>The results using different pre-defined priors were consistent with the findings in the main model (Figure 1). Sensitivity analyses yielded similar results (Supplemental Appendix).</w:t>
      </w:r>
      <w:bookmarkEnd w:id="20"/>
    </w:p>
    <w:p>
      <w:pPr>
        <w:pStyle w:val="Heading3"/>
        <w:rPr>
          <w:sz w:val="24"/>
          <w:szCs w:val="24"/>
        </w:rPr>
      </w:pPr>
      <w:bookmarkStart w:id="21" w:name="X35a142ea301be59e62227349f8c14b571c0f47d"/>
      <w:r>
        <w:rPr>
          <w:sz w:val="24"/>
          <w:szCs w:val="24"/>
        </w:rPr>
        <w:t>Hemispheric laterality and secondary outcomes</w:t>
      </w:r>
    </w:p>
    <w:p>
      <w:pPr>
        <w:pStyle w:val="FirstParagraph"/>
        <w:rPr>
          <w:sz w:val="24"/>
          <w:szCs w:val="24"/>
        </w:rPr>
      </w:pPr>
      <w:r>
        <w:rPr>
          <w:sz w:val="24"/>
          <w:szCs w:val="24"/>
        </w:rPr>
        <w:t>A total of 236 (13.7%) with left hemispheric ICH had an external ventricular drain (EVD) placed as compared to 272 (15.5%) with right hemispheric ICH (aOR 1.34, 95% credible interval 1.01 - 1.76). The posterior probability that the aOR was greater than 1 was 98%. The posterior probability that the aOR was greater than 1.2 was 78%. About 2% of the posterior distribution was inside of the ROPE.</w:t>
      </w:r>
    </w:p>
    <w:p>
      <w:pPr>
        <w:pStyle w:val="BodyText"/>
        <w:rPr>
          <w:sz w:val="24"/>
          <w:szCs w:val="24"/>
        </w:rPr>
      </w:pPr>
      <w:bookmarkStart w:id="22" w:name="X35a142ea301be59e62227349f8c14b571c0f47d"/>
      <w:r>
        <w:rPr>
          <w:sz w:val="24"/>
          <w:szCs w:val="24"/>
        </w:rPr>
        <w:t>Other secondary outcomes showed smaller and less certain associations with hemispheric laterality.</w:t>
      </w:r>
      <w:bookmarkEnd w:id="22"/>
    </w:p>
    <w:p>
      <w:pPr>
        <w:pStyle w:val="Heading3"/>
        <w:rPr>
          <w:sz w:val="24"/>
          <w:szCs w:val="24"/>
        </w:rPr>
      </w:pPr>
      <w:bookmarkStart w:id="23" w:name="subgroup-analyses"/>
      <w:r>
        <w:rPr>
          <w:sz w:val="24"/>
          <w:szCs w:val="24"/>
        </w:rPr>
        <w:t>Subgroup Analyses</w:t>
      </w:r>
    </w:p>
    <w:p>
      <w:pPr>
        <w:pStyle w:val="FirstParagraph"/>
        <w:rPr>
          <w:sz w:val="24"/>
          <w:szCs w:val="24"/>
        </w:rPr>
      </w:pPr>
      <w:r>
        <w:rPr>
          <w:sz w:val="24"/>
          <w:szCs w:val="24"/>
        </w:rPr>
        <w:t>The results of the pre-specified subgroup analyses are shown in Table 3.</w:t>
      </w:r>
    </w:p>
    <w:p>
      <w:pPr>
        <w:pStyle w:val="Heading4"/>
        <w:rPr>
          <w:sz w:val="24"/>
          <w:szCs w:val="24"/>
        </w:rPr>
      </w:pPr>
      <w:bookmarkStart w:id="24" w:name="ich-location"/>
      <w:r>
        <w:rPr>
          <w:sz w:val="24"/>
          <w:szCs w:val="24"/>
        </w:rPr>
        <w:t>ICH Location</w:t>
      </w:r>
    </w:p>
    <w:p>
      <w:pPr>
        <w:pStyle w:val="FirstParagraph"/>
        <w:rPr>
          <w:sz w:val="24"/>
          <w:szCs w:val="24"/>
        </w:rPr>
      </w:pPr>
      <w:bookmarkStart w:id="25" w:name="ich-location"/>
      <w:r>
        <w:rPr>
          <w:sz w:val="24"/>
          <w:szCs w:val="24"/>
        </w:rPr>
        <w:t>While the probability of neurosurgical intervention in patients with right hemisphere ICH was consistent when considering different locations, the difference was greatest among patients with lobar ICH. In patients with lobar ICH, a total of 39 (7.7%) patients with left hemispheric ICH underwent neurosurgical intervention as compared to 76 (14.9%) patients with right hemispheric ICH (aOR 2.00, 95% credible interval 1.30 - 2.99). The posterior probability that the aOR was greater than 1 was 100%. The posterior probability that the aOR was greater than 1.2 was 99%. The entire posterior distribution was outside of the ROPE.</w:t>
      </w:r>
      <w:bookmarkEnd w:id="25"/>
    </w:p>
    <w:p>
      <w:pPr>
        <w:pStyle w:val="Heading4"/>
        <w:rPr>
          <w:sz w:val="24"/>
          <w:szCs w:val="24"/>
        </w:rPr>
      </w:pPr>
      <w:bookmarkStart w:id="26" w:name="study"/>
      <w:r>
        <w:rPr>
          <w:sz w:val="24"/>
          <w:szCs w:val="24"/>
        </w:rPr>
        <w:t>Study</w:t>
      </w:r>
    </w:p>
    <w:p>
      <w:pPr>
        <w:pStyle w:val="FirstParagraph"/>
        <w:rPr>
          <w:sz w:val="24"/>
          <w:szCs w:val="24"/>
        </w:rPr>
      </w:pPr>
      <w:bookmarkStart w:id="27" w:name="subgroup-analyses"/>
      <w:bookmarkStart w:id="28" w:name="study"/>
      <w:r>
        <w:rPr>
          <w:sz w:val="24"/>
          <w:szCs w:val="24"/>
        </w:rPr>
        <w:t>The effect of hemispheric laterality was bigger in the ERICH cohort as compared to the ATACH-2 cohort. Of the patients enrolled in ERICH, 73 (5.8%) patients with left hemispheric ICH underwent neurosurgical intervention as compared to 114 (9.2%) patients with right hemispheric ICH (aOR 1.86, 95% credible interval 1.27 - 2.64). The posterior probability that the aOR was greater than 1 was 100%. The posterior probability that the aOR was greater than 1.2 was 99%. The entire posterior distribution was outside of the ROPE.</w:t>
      </w:r>
      <w:bookmarkEnd w:id="27"/>
      <w:bookmarkEnd w:id="28"/>
    </w:p>
    <w:p>
      <w:pPr>
        <w:pStyle w:val="Heading3"/>
        <w:rPr>
          <w:sz w:val="24"/>
          <w:szCs w:val="24"/>
        </w:rPr>
      </w:pPr>
      <w:bookmarkStart w:id="29" w:name="X497d2c87b36dfef7f34a746e297a0b417356437"/>
      <w:r>
        <w:rPr>
          <w:sz w:val="24"/>
          <w:szCs w:val="24"/>
        </w:rPr>
        <w:t>Hemispheric laterality and functional outcomes</w:t>
      </w:r>
    </w:p>
    <w:p>
      <w:pPr>
        <w:pStyle w:val="FirstParagraph"/>
        <w:rPr>
          <w:sz w:val="24"/>
          <w:szCs w:val="24"/>
        </w:rPr>
      </w:pPr>
      <w:r>
        <w:rPr>
          <w:sz w:val="24"/>
          <w:szCs w:val="24"/>
        </w:rPr>
        <w:t>The associations between mRS at 90 days and functional outcomes are described in Table 4. The aOR for a worse mRS score at 90 days associated with right hemispheric ICH compared to left hemispheric ICH was 1.18 (95% credible interval 1.01 - 1.36). The posterior probability that the aOR was &gt; 1 was 98%. The posterior probability that the aOR was &gt; 1.2 was 39%. About 6% of the posterior distribution was inside of the ROPE.</w:t>
      </w:r>
    </w:p>
    <w:p>
      <w:pPr>
        <w:pStyle w:val="BodyText"/>
        <w:rPr>
          <w:sz w:val="24"/>
          <w:szCs w:val="24"/>
        </w:rPr>
      </w:pPr>
      <w:r>
        <w:rPr>
          <w:sz w:val="24"/>
          <w:szCs w:val="24"/>
        </w:rPr>
        <w:t>When examining HRQOL, the largest differences between groups was in the Moblity and Self-Care domains. The aOR for a worse EuroQOL - Moblity score associated with right hemispheric ICH compared to left hemispheric ICH was 1.43 (95% credible interval 1.2 - 1.71) with similar results for the Self-Care domain. The posterior probability that the aOR was &gt; 1 was 100% for both domains, with the posterior probability that the aOR was &gt; 1.2 being 98%.</w:t>
      </w:r>
    </w:p>
    <w:p>
      <w:pPr>
        <w:pStyle w:val="BodyText"/>
        <w:rPr>
          <w:sz w:val="24"/>
          <w:szCs w:val="24"/>
        </w:rPr>
      </w:pPr>
      <w:bookmarkStart w:id="30" w:name="results"/>
      <w:bookmarkStart w:id="31" w:name="X497d2c87b36dfef7f34a746e297a0b417356437"/>
      <w:r>
        <w:rPr>
          <w:sz w:val="24"/>
          <w:szCs w:val="24"/>
        </w:rPr>
        <w:t>Results from using different priors and sensitivity analyses are presented in the Supplementary Appendix and did not significantly alter the results.</w:t>
      </w:r>
      <w:bookmarkEnd w:id="30"/>
      <w:bookmarkEnd w:id="31"/>
    </w:p>
    <w:p>
      <w:pPr>
        <w:pStyle w:val="Heading2"/>
        <w:rPr>
          <w:sz w:val="24"/>
          <w:szCs w:val="24"/>
        </w:rPr>
      </w:pPr>
      <w:bookmarkStart w:id="32" w:name="discussion"/>
      <w:r>
        <w:rPr>
          <w:sz w:val="24"/>
          <w:szCs w:val="24"/>
        </w:rPr>
        <w:t>Discussion</w:t>
      </w:r>
    </w:p>
    <w:p>
      <w:pPr>
        <w:pStyle w:val="FirstParagraph"/>
        <w:rPr>
          <w:sz w:val="24"/>
          <w:szCs w:val="24"/>
        </w:rPr>
      </w:pPr>
      <w:r>
        <w:rPr>
          <w:sz w:val="24"/>
          <w:szCs w:val="24"/>
        </w:rPr>
        <w:t>In this pooled analysis of 3477 patients with ICH, we found evidence that those with right hemispheric ICH were more likely to receive neurosurgical intervention than those with left hemispheric ICH. Specifically, patients with right hemispheric ICH had 1.56 times the odds of receiving a neurosurgical intervention and 1.34 times the odds of receiving an EVD. This was consistent when considering various ICH locations and within each individual study. Despite receiving less aggressive surgical care, patients with left hemispheric ICH had better 90-day functional outcomes, a finding robust to various definitions including the mRS and HRQoL domains.</w:t>
      </w:r>
    </w:p>
    <w:p>
      <w:pPr>
        <w:pStyle w:val="BodyText"/>
        <w:rPr>
          <w:sz w:val="24"/>
          <w:szCs w:val="24"/>
        </w:rPr>
      </w:pPr>
      <w:r>
        <w:rPr>
          <w:sz w:val="24"/>
          <w:szCs w:val="24"/>
        </w:rPr>
        <w:t>This finding is particularly important in light of recent evidence suggesting that surgical interventions, such as hematoma evacuation and decompressive craniectomy, may improve outcomes in some ICH patients</w:t>
      </w:r>
      <w:r>
        <w:rPr>
          <w:sz w:val="24"/>
          <w:szCs w:val="24"/>
          <w:vertAlign w:val="superscript"/>
        </w:rPr>
        <w:t>3,13</w:t>
      </w:r>
      <w:r>
        <w:rPr>
          <w:sz w:val="24"/>
          <w:szCs w:val="24"/>
        </w:rPr>
        <w:t>. If there is a bias against offering these interventions to patients with left hemispheric ICH, it could lead to worse outcomes for this group. This highlights the need to address potential biases in treatment decisions and ensure equitable access to life-saving and disability-improving interventions. While treatment bias based on hemispheric laterality is not well-characterized in ICH, there are several studies that have found that clinicians, patients, and families place particular importance in language deficits and thus are less optimistic about dominant-hemispheric injuries.</w:t>
      </w:r>
      <w:r>
        <w:rPr>
          <w:sz w:val="24"/>
          <w:szCs w:val="24"/>
          <w:vertAlign w:val="superscript"/>
        </w:rPr>
        <w:t>22–24</w:t>
      </w:r>
      <w:r>
        <w:rPr>
          <w:sz w:val="24"/>
          <w:szCs w:val="24"/>
        </w:rPr>
        <w:t xml:space="preserve"> This attitude potentially may not be warranted if patients with left hemispheric injury report equivalent or improved quality of life outcomes compared to those with right hemispheric injury.</w:t>
      </w:r>
    </w:p>
    <w:p>
      <w:pPr>
        <w:pStyle w:val="BodyText"/>
        <w:rPr>
          <w:sz w:val="24"/>
          <w:szCs w:val="24"/>
        </w:rPr>
      </w:pPr>
      <w:r>
        <w:rPr>
          <w:sz w:val="24"/>
          <w:szCs w:val="24"/>
        </w:rPr>
        <w:t>Evidence is limited regarding the association of hemispheric lateralization and functional outcomes in patients with ICH. Our findings corroborate those from a pooled analysis of the INTERACT1 and INTERACT2 trials, which showed a higher risk of mortality in patients with right hemispheric ICH.</w:t>
      </w:r>
      <w:r>
        <w:rPr>
          <w:sz w:val="24"/>
          <w:szCs w:val="24"/>
          <w:vertAlign w:val="superscript"/>
        </w:rPr>
        <w:t>12</w:t>
      </w:r>
      <w:r>
        <w:rPr>
          <w:sz w:val="24"/>
          <w:szCs w:val="24"/>
        </w:rPr>
        <w:t xml:space="preserve"> Most other studies examining the association of hemispheric laterality and functional outcomes have focused on patients with acute ischemic stroke with mixed results. The two largest studies were pooled analyses from prospective ischemic stroke trials and neither found a clear association between hemispheric laterality and outcomes. </w:t>
      </w:r>
      <w:r>
        <w:rPr>
          <w:sz w:val="24"/>
          <w:szCs w:val="24"/>
          <w:vertAlign w:val="superscript"/>
        </w:rPr>
        <w:t>25,26</w:t>
      </w:r>
      <w:r>
        <w:rPr>
          <w:sz w:val="24"/>
          <w:szCs w:val="24"/>
        </w:rPr>
        <w:t xml:space="preserve"> This may be particularly challenging to study in ischemic stroke due to how the NIHSS is used to guide treatment decisions and is also biased toward higher scores in patients with left hemispheric injury.</w:t>
      </w:r>
      <w:r>
        <w:rPr>
          <w:sz w:val="24"/>
          <w:szCs w:val="24"/>
          <w:vertAlign w:val="superscript"/>
        </w:rPr>
        <w:t>27</w:t>
      </w:r>
    </w:p>
    <w:p>
      <w:pPr>
        <w:pStyle w:val="BodyText"/>
        <w:rPr>
          <w:sz w:val="24"/>
          <w:szCs w:val="24"/>
        </w:rPr>
      </w:pPr>
      <w:r>
        <w:rPr>
          <w:sz w:val="24"/>
          <w:szCs w:val="24"/>
        </w:rPr>
        <w:t>Our study has some limitations. The absolute number of patients undergoing surgery was relatively low, making it unclear how these findings might translate to studies with higher intervention rates. We derived our cohort from two prospective studies where practice patterns may have been affected by the Hawthorne effect. Our cohort is also limited to mostly patients living in the United States, and there is likely to be a range of different socioeconomic and cultural frameworks that factor into decisions on treatment, prognosis, and quality of life throughout the world. With the recent publication of several large RCTs demonstrating the benefit of hematoma evacuation and decompressive craniectomy in ICH</w:t>
      </w:r>
      <w:r>
        <w:rPr>
          <w:sz w:val="24"/>
          <w:szCs w:val="24"/>
          <w:vertAlign w:val="superscript"/>
        </w:rPr>
        <w:t>3,13</w:t>
      </w:r>
      <w:r>
        <w:rPr>
          <w:sz w:val="24"/>
          <w:szCs w:val="24"/>
        </w:rPr>
        <w:t>, it will be imperative to confirm our findings with additional cohorts. Future research should focus on prospectively surveying clinicians, patients, and families with a variety of cultural and socioeconomic backgrounds as well as in a range of practice settings to further investigate the potential spectrum of biases in treatment decisions and their impact on outcomes.</w:t>
      </w:r>
      <w:bookmarkEnd w:id="32"/>
    </w:p>
    <w:p>
      <w:pPr>
        <w:pStyle w:val="Heading2"/>
        <w:rPr>
          <w:sz w:val="24"/>
          <w:szCs w:val="24"/>
        </w:rPr>
      </w:pPr>
      <w:bookmarkStart w:id="33" w:name="conclusions"/>
      <w:r>
        <w:rPr>
          <w:sz w:val="24"/>
          <w:szCs w:val="24"/>
        </w:rPr>
        <w:t>Conclusions</w:t>
      </w:r>
    </w:p>
    <w:p>
      <w:pPr>
        <w:pStyle w:val="FirstParagraph"/>
        <w:rPr>
          <w:sz w:val="24"/>
          <w:szCs w:val="24"/>
        </w:rPr>
      </w:pPr>
      <w:r>
        <w:rPr>
          <w:sz w:val="24"/>
          <w:szCs w:val="24"/>
        </w:rPr>
        <w:t>We found that patients with left hemispheric ICH were less likely to receive aggressive care in the form of neurosurgical intervention and external ventricular drain placement as compared to those with right hemispheric ICH. Despite this, patients with left hemispheric ICH were more likely to have better functional outcomes at 90 days. These findings highlight the potential influence of hemispheric laterality on treatment decisions and outcomes in ICH, and suggest that further research is needed to understand and address potential biases in treatment allocation.</w:t>
      </w:r>
    </w:p>
    <w:p>
      <w:pPr>
        <w:pStyle w:val="Bibliography"/>
        <w:rPr/>
      </w:pPr>
      <w:bookmarkStart w:id="34" w:name="refs"/>
      <w:bookmarkStart w:id="35" w:name="ref-hemphillICHScoreSimple2001"/>
      <w:r>
        <w:rPr>
          <w:sz w:val="24"/>
          <w:szCs w:val="24"/>
        </w:rPr>
        <w:t xml:space="preserve">1. </w:t>
        <w:tab/>
        <w:t xml:space="preserve">Hemphill JC, Bonovich DC, Besmertis L, Manley GT, Johnston SC. The ICH Score: A Simple, Reliable Grading Scale for Intracerebral Hemorrhage. </w:t>
      </w:r>
      <w:r>
        <w:rPr>
          <w:i/>
          <w:iCs/>
          <w:sz w:val="24"/>
          <w:szCs w:val="24"/>
        </w:rPr>
        <w:t>Stroke</w:t>
      </w:r>
      <w:r>
        <w:rPr>
          <w:sz w:val="24"/>
          <w:szCs w:val="24"/>
        </w:rPr>
        <w:t>. 2001;32(4):891-897. doi:</w:t>
      </w:r>
      <w:hyperlink r:id="rId3">
        <w:r>
          <w:rPr>
            <w:rStyle w:val="Hyperlink"/>
            <w:sz w:val="24"/>
            <w:szCs w:val="24"/>
          </w:rPr>
          <w:t>10.1161/01.STR.32.4.891</w:t>
        </w:r>
      </w:hyperlink>
      <w:bookmarkEnd w:id="35"/>
    </w:p>
    <w:p>
      <w:pPr>
        <w:pStyle w:val="Bibliography"/>
        <w:rPr/>
      </w:pPr>
      <w:bookmarkStart w:id="36" w:name="Xb1ab0250ddbe95fd4f2ad9af76384f9c74d3ea6"/>
      <w:r>
        <w:rPr>
          <w:sz w:val="24"/>
          <w:szCs w:val="24"/>
        </w:rPr>
        <w:t xml:space="preserve">2. </w:t>
        <w:tab/>
        <w:t xml:space="preserve">Sheth KN. Spontaneous Intracerebral Hemorrhage. </w:t>
      </w:r>
      <w:r>
        <w:rPr>
          <w:i/>
          <w:iCs/>
          <w:sz w:val="24"/>
          <w:szCs w:val="24"/>
        </w:rPr>
        <w:t>New England Journal of Medicine</w:t>
      </w:r>
      <w:r>
        <w:rPr>
          <w:sz w:val="24"/>
          <w:szCs w:val="24"/>
        </w:rPr>
        <w:t>. 2022;387(17):1589-1596. doi:</w:t>
      </w:r>
      <w:hyperlink r:id="rId4">
        <w:r>
          <w:rPr>
            <w:rStyle w:val="Hyperlink"/>
            <w:sz w:val="24"/>
            <w:szCs w:val="24"/>
          </w:rPr>
          <w:t>10.1056/NEJMra2201449</w:t>
        </w:r>
      </w:hyperlink>
      <w:bookmarkEnd w:id="36"/>
    </w:p>
    <w:p>
      <w:pPr>
        <w:pStyle w:val="Bibliography"/>
        <w:rPr/>
      </w:pPr>
      <w:bookmarkStart w:id="37" w:name="ref-pradillaTrialEarlyMinimally2024"/>
      <w:r>
        <w:rPr>
          <w:sz w:val="24"/>
          <w:szCs w:val="24"/>
        </w:rPr>
        <w:t xml:space="preserve">3. </w:t>
        <w:tab/>
        <w:t xml:space="preserve">Pradilla G, Ratcliff JJ, Hall AJ, et al. Trial of Early Minimally Invasive Removal of Intracerebral Hemorrhage. </w:t>
      </w:r>
      <w:r>
        <w:rPr>
          <w:i/>
          <w:iCs/>
          <w:sz w:val="24"/>
          <w:szCs w:val="24"/>
        </w:rPr>
        <w:t>New England Journal of Medicine</w:t>
      </w:r>
      <w:r>
        <w:rPr>
          <w:sz w:val="24"/>
          <w:szCs w:val="24"/>
        </w:rPr>
        <w:t>. 2024;390(14):1277-1289. doi:</w:t>
      </w:r>
      <w:hyperlink r:id="rId5">
        <w:r>
          <w:rPr>
            <w:rStyle w:val="Hyperlink"/>
            <w:sz w:val="24"/>
            <w:szCs w:val="24"/>
          </w:rPr>
          <w:t>10.1056/NEJMoa2308440</w:t>
        </w:r>
      </w:hyperlink>
      <w:bookmarkEnd w:id="37"/>
    </w:p>
    <w:p>
      <w:pPr>
        <w:pStyle w:val="Bibliography"/>
        <w:rPr/>
      </w:pPr>
      <w:bookmarkStart w:id="38" w:name="ref-bakoMinimallyInvasiveSurgery2023"/>
      <w:r>
        <w:rPr>
          <w:sz w:val="24"/>
          <w:szCs w:val="24"/>
        </w:rPr>
        <w:t xml:space="preserve">4. </w:t>
        <w:tab/>
        <w:t xml:space="preserve">Bako AT, Potter T, Pan AP, et al. Minimally Invasive Surgery With Thrombolysis for Intracerebral Hemorrhage Evacuation. </w:t>
      </w:r>
      <w:r>
        <w:rPr>
          <w:i/>
          <w:iCs/>
          <w:sz w:val="24"/>
          <w:szCs w:val="24"/>
        </w:rPr>
        <w:t>Neurology</w:t>
      </w:r>
      <w:r>
        <w:rPr>
          <w:sz w:val="24"/>
          <w:szCs w:val="24"/>
        </w:rPr>
        <w:t>. 2023;101(16):e1614-e1622. doi:</w:t>
      </w:r>
      <w:hyperlink r:id="rId6">
        <w:r>
          <w:rPr>
            <w:rStyle w:val="Hyperlink"/>
            <w:sz w:val="24"/>
            <w:szCs w:val="24"/>
          </w:rPr>
          <w:t>10.1212/WNL.0000000000207735</w:t>
        </w:r>
      </w:hyperlink>
      <w:bookmarkEnd w:id="38"/>
    </w:p>
    <w:p>
      <w:pPr>
        <w:pStyle w:val="Bibliography"/>
        <w:rPr/>
      </w:pPr>
      <w:bookmarkStart w:id="39" w:name="ref-dileggeImpactLesionSide2005"/>
      <w:r>
        <w:rPr>
          <w:sz w:val="24"/>
          <w:szCs w:val="24"/>
        </w:rPr>
        <w:t xml:space="preserve">5. </w:t>
        <w:tab/>
        <w:t xml:space="preserve">Di Legge S, Fang J, Saposnik G, Hachinski V. The impact of lesion side on acute stroke treatment. </w:t>
      </w:r>
      <w:r>
        <w:rPr>
          <w:i/>
          <w:iCs/>
          <w:sz w:val="24"/>
          <w:szCs w:val="24"/>
        </w:rPr>
        <w:t>Neurology</w:t>
      </w:r>
      <w:r>
        <w:rPr>
          <w:sz w:val="24"/>
          <w:szCs w:val="24"/>
        </w:rPr>
        <w:t>. 2005;65(1):81-86. doi:</w:t>
      </w:r>
      <w:hyperlink r:id="rId7">
        <w:r>
          <w:rPr>
            <w:rStyle w:val="Hyperlink"/>
            <w:sz w:val="24"/>
            <w:szCs w:val="24"/>
          </w:rPr>
          <w:t>10.1212/01.wnl.0000167608.94237.aa</w:t>
        </w:r>
      </w:hyperlink>
      <w:bookmarkEnd w:id="39"/>
    </w:p>
    <w:p>
      <w:pPr>
        <w:pStyle w:val="Bibliography"/>
        <w:rPr/>
      </w:pPr>
      <w:bookmarkStart w:id="40" w:name="ref-foerchDifferenceRecognitionRight2005"/>
      <w:r>
        <w:rPr>
          <w:sz w:val="24"/>
          <w:szCs w:val="24"/>
        </w:rPr>
        <w:t xml:space="preserve">6. </w:t>
        <w:tab/>
        <w:t xml:space="preserve">Foerch C, Misselwitz B, Sitzer M, Berger K, Steinmetz H, Neumann-Haefelin T. Difference in recognition of right and left hemispheric stroke. </w:t>
      </w:r>
      <w:r>
        <w:rPr>
          <w:i/>
          <w:iCs/>
          <w:sz w:val="24"/>
          <w:szCs w:val="24"/>
        </w:rPr>
        <w:t>The Lancet</w:t>
      </w:r>
      <w:r>
        <w:rPr>
          <w:sz w:val="24"/>
          <w:szCs w:val="24"/>
        </w:rPr>
        <w:t>. 2005;366(9483):392-393. doi:</w:t>
      </w:r>
      <w:hyperlink r:id="rId8">
        <w:r>
          <w:rPr>
            <w:rStyle w:val="Hyperlink"/>
            <w:sz w:val="24"/>
            <w:szCs w:val="24"/>
          </w:rPr>
          <w:t>10.1016/S0140-6736(05)67024-9</w:t>
        </w:r>
      </w:hyperlink>
      <w:bookmarkEnd w:id="40"/>
    </w:p>
    <w:p>
      <w:pPr>
        <w:pStyle w:val="Bibliography"/>
        <w:rPr/>
      </w:pPr>
      <w:bookmarkStart w:id="41" w:name="ref-portegiesLeftsidedStrokesAre2015"/>
      <w:r>
        <w:rPr>
          <w:sz w:val="24"/>
          <w:szCs w:val="24"/>
        </w:rPr>
        <w:t xml:space="preserve">7. </w:t>
        <w:tab/>
        <w:t xml:space="preserve">Portegies MLP, Selwaness M, Hofman A, Koudstaal PJ, Vernooij MW, Ikram MA. Left-sided strokes are more often recognized than right-sided strokes: The Rotterdam study. </w:t>
      </w:r>
      <w:r>
        <w:rPr>
          <w:i/>
          <w:iCs/>
          <w:sz w:val="24"/>
          <w:szCs w:val="24"/>
        </w:rPr>
        <w:t>Stroke</w:t>
      </w:r>
      <w:r>
        <w:rPr>
          <w:sz w:val="24"/>
          <w:szCs w:val="24"/>
        </w:rPr>
        <w:t>. 2015;46(1):252-254. doi:</w:t>
      </w:r>
      <w:hyperlink r:id="rId9">
        <w:r>
          <w:rPr>
            <w:rStyle w:val="Hyperlink"/>
            <w:sz w:val="24"/>
            <w:szCs w:val="24"/>
          </w:rPr>
          <w:t>10.1161/STROKEAHA.114.007385</w:t>
        </w:r>
      </w:hyperlink>
      <w:bookmarkEnd w:id="41"/>
    </w:p>
    <w:p>
      <w:pPr>
        <w:pStyle w:val="Bibliography"/>
        <w:rPr/>
      </w:pPr>
      <w:bookmarkStart w:id="42" w:name="ref-liStrokeLateralizationLarge2021"/>
      <w:r>
        <w:rPr>
          <w:sz w:val="24"/>
          <w:szCs w:val="24"/>
        </w:rPr>
        <w:t xml:space="preserve">8. </w:t>
        <w:tab/>
        <w:t xml:space="preserve">Li J, Zhang P, Liu Y, Chen W, Yi X, Wang C. Stroke Lateralization in Large Hemisphere Infarctions: Characteristics, Stroke-Related Complications, and Outcomes. </w:t>
      </w:r>
      <w:r>
        <w:rPr>
          <w:i/>
          <w:iCs/>
          <w:sz w:val="24"/>
          <w:szCs w:val="24"/>
        </w:rPr>
        <w:t>Frontiers in Neurology</w:t>
      </w:r>
      <w:r>
        <w:rPr>
          <w:sz w:val="24"/>
          <w:szCs w:val="24"/>
        </w:rPr>
        <w:t>. 2021;12:774247. doi:</w:t>
      </w:r>
      <w:hyperlink r:id="rId10">
        <w:r>
          <w:rPr>
            <w:rStyle w:val="Hyperlink"/>
            <w:sz w:val="24"/>
            <w:szCs w:val="24"/>
          </w:rPr>
          <w:t>10.3389/fneur.2021.774247</w:t>
        </w:r>
      </w:hyperlink>
      <w:bookmarkEnd w:id="42"/>
    </w:p>
    <w:p>
      <w:pPr>
        <w:pStyle w:val="Bibliography"/>
        <w:rPr/>
      </w:pPr>
      <w:bookmarkStart w:id="43" w:name="X838bc231b1872fcffc9183d1e0517a825b33557"/>
      <w:r>
        <w:rPr>
          <w:sz w:val="24"/>
          <w:szCs w:val="24"/>
        </w:rPr>
        <w:t xml:space="preserve">9. </w:t>
        <w:tab/>
        <w:t xml:space="preserve">Deb-Chatterji M, Flottmann F, Meyer L, et al. Side matters: Differences in functional outcome and quality of life after thrombectomy in left and right hemispheric stroke. </w:t>
      </w:r>
      <w:r>
        <w:rPr>
          <w:i/>
          <w:iCs/>
          <w:sz w:val="24"/>
          <w:szCs w:val="24"/>
        </w:rPr>
        <w:t>Neurological Research and Practice</w:t>
      </w:r>
      <w:r>
        <w:rPr>
          <w:sz w:val="24"/>
          <w:szCs w:val="24"/>
        </w:rPr>
        <w:t>. 2022;4(1):58. doi:</w:t>
      </w:r>
      <w:hyperlink r:id="rId11">
        <w:r>
          <w:rPr>
            <w:rStyle w:val="Hyperlink"/>
            <w:sz w:val="24"/>
            <w:szCs w:val="24"/>
          </w:rPr>
          <w:t>10.1186/s42466-022-00223-7</w:t>
        </w:r>
      </w:hyperlink>
      <w:bookmarkEnd w:id="43"/>
    </w:p>
    <w:p>
      <w:pPr>
        <w:pStyle w:val="Bibliography"/>
        <w:rPr/>
      </w:pPr>
      <w:bookmarkStart w:id="44" w:name="ref-leggeNeglectingDifference2006"/>
      <w:r>
        <w:rPr>
          <w:sz w:val="24"/>
          <w:szCs w:val="24"/>
        </w:rPr>
        <w:t xml:space="preserve">10. </w:t>
        <w:tab/>
        <w:t xml:space="preserve">Legge SD, Saposnik G, Nilanont Y, Hachinski V. Neglecting the Difference. </w:t>
      </w:r>
      <w:r>
        <w:rPr>
          <w:i/>
          <w:iCs/>
          <w:sz w:val="24"/>
          <w:szCs w:val="24"/>
        </w:rPr>
        <w:t>Stroke</w:t>
      </w:r>
      <w:r>
        <w:rPr>
          <w:sz w:val="24"/>
          <w:szCs w:val="24"/>
        </w:rPr>
        <w:t>. 2006;37(8):2066-2069. doi:</w:t>
      </w:r>
      <w:hyperlink r:id="rId12">
        <w:r>
          <w:rPr>
            <w:rStyle w:val="Hyperlink"/>
            <w:sz w:val="24"/>
            <w:szCs w:val="24"/>
          </w:rPr>
          <w:t>10.1161/01.STR.0000229899.66019.62</w:t>
        </w:r>
      </w:hyperlink>
      <w:bookmarkEnd w:id="44"/>
    </w:p>
    <w:p>
      <w:pPr>
        <w:pStyle w:val="Bibliography"/>
        <w:rPr/>
      </w:pPr>
      <w:bookmarkStart w:id="45" w:name="X3c0b23a0f7bdee15362bbd61a2add3aa865ea88"/>
      <w:r>
        <w:rPr>
          <w:sz w:val="24"/>
          <w:szCs w:val="24"/>
        </w:rPr>
        <w:t xml:space="preserve">11. </w:t>
        <w:tab/>
        <w:t xml:space="preserve">Beuscher VD, Kuramatsu JB, Gerner ST, et al. Functional Long-Term Outcome after Left- versus Right-Sided Intracerebral Hemorrhage. </w:t>
      </w:r>
      <w:r>
        <w:rPr>
          <w:i/>
          <w:iCs/>
          <w:sz w:val="24"/>
          <w:szCs w:val="24"/>
        </w:rPr>
        <w:t>Cerebrovascular Diseases</w:t>
      </w:r>
      <w:r>
        <w:rPr>
          <w:sz w:val="24"/>
          <w:szCs w:val="24"/>
        </w:rPr>
        <w:t>. 2017;43(3-4):117-123. doi:</w:t>
      </w:r>
      <w:hyperlink r:id="rId13">
        <w:r>
          <w:rPr>
            <w:rStyle w:val="Hyperlink"/>
            <w:sz w:val="24"/>
            <w:szCs w:val="24"/>
          </w:rPr>
          <w:t>10.1159/000454775</w:t>
        </w:r>
      </w:hyperlink>
      <w:bookmarkEnd w:id="45"/>
    </w:p>
    <w:p>
      <w:pPr>
        <w:pStyle w:val="Bibliography"/>
        <w:rPr/>
      </w:pPr>
      <w:bookmarkStart w:id="46" w:name="ref-satoHigherMortalityPatients2015"/>
      <w:r>
        <w:rPr>
          <w:sz w:val="24"/>
          <w:szCs w:val="24"/>
        </w:rPr>
        <w:t xml:space="preserve">12. </w:t>
        <w:tab/>
        <w:t xml:space="preserve">Sato S, Heeley E, Arima H, et al. Higher mortality in patients with right hemispheric intracerebral haemorrhage: INTERACT1 and 2. </w:t>
      </w:r>
      <w:r>
        <w:rPr>
          <w:i/>
          <w:iCs/>
          <w:sz w:val="24"/>
          <w:szCs w:val="24"/>
        </w:rPr>
        <w:t>Journal of Neurology, Neurosurgery &amp; Psychiatry</w:t>
      </w:r>
      <w:r>
        <w:rPr>
          <w:sz w:val="24"/>
          <w:szCs w:val="24"/>
        </w:rPr>
        <w:t>. 2015;86(12):1319-1323. doi:</w:t>
      </w:r>
      <w:hyperlink r:id="rId14">
        <w:r>
          <w:rPr>
            <w:rStyle w:val="Hyperlink"/>
            <w:sz w:val="24"/>
            <w:szCs w:val="24"/>
          </w:rPr>
          <w:t>10.1136/jnnp-2014-309870</w:t>
        </w:r>
      </w:hyperlink>
      <w:bookmarkEnd w:id="46"/>
    </w:p>
    <w:p>
      <w:pPr>
        <w:pStyle w:val="Bibliography"/>
        <w:rPr/>
      </w:pPr>
      <w:bookmarkStart w:id="47" w:name="ref-beckDecompressiveCraniectomyBest2024"/>
      <w:r>
        <w:rPr>
          <w:sz w:val="24"/>
          <w:szCs w:val="24"/>
        </w:rPr>
        <w:t xml:space="preserve">13. </w:t>
        <w:tab/>
        <w:t xml:space="preserve">Beck J, Fung C, Strbian D, et al. Decompressive craniectomy plus best medical treatment versus best medical treatment alone for spontaneous severe deep supratentorial intracerebral haemorrhage: A randomised controlled clinical trial. </w:t>
      </w:r>
      <w:r>
        <w:rPr>
          <w:i/>
          <w:iCs/>
          <w:sz w:val="24"/>
          <w:szCs w:val="24"/>
        </w:rPr>
        <w:t>The Lancet</w:t>
      </w:r>
      <w:r>
        <w:rPr>
          <w:sz w:val="24"/>
          <w:szCs w:val="24"/>
        </w:rPr>
        <w:t>. 2024;403(10442):2395-2404. doi:</w:t>
      </w:r>
      <w:hyperlink r:id="rId15">
        <w:r>
          <w:rPr>
            <w:rStyle w:val="Hyperlink"/>
            <w:sz w:val="24"/>
            <w:szCs w:val="24"/>
          </w:rPr>
          <w:t>10.1016/S0140-6736(24)00702-5</w:t>
        </w:r>
      </w:hyperlink>
      <w:bookmarkEnd w:id="47"/>
    </w:p>
    <w:p>
      <w:pPr>
        <w:pStyle w:val="Bibliography"/>
        <w:rPr/>
      </w:pPr>
      <w:bookmarkStart w:id="48" w:name="Xe5698a0135fcc3ba325d1733a6b0d2457d0d2c6"/>
      <w:r>
        <w:rPr>
          <w:sz w:val="24"/>
          <w:szCs w:val="24"/>
        </w:rPr>
        <w:t xml:space="preserve">14. </w:t>
        <w:tab/>
        <w:t xml:space="preserve">Qureshi AI, Palesch YY, Barsan WG, et al. Intensive Blood-Pressure Lowering in Patients with Acute Cerebral Hemorrhage. </w:t>
      </w:r>
      <w:r>
        <w:rPr>
          <w:i/>
          <w:iCs/>
          <w:sz w:val="24"/>
          <w:szCs w:val="24"/>
        </w:rPr>
        <w:t>New England Journal of Medicine</w:t>
      </w:r>
      <w:r>
        <w:rPr>
          <w:sz w:val="24"/>
          <w:szCs w:val="24"/>
        </w:rPr>
        <w:t>. 2016;375(11):1033-1043. doi:</w:t>
      </w:r>
      <w:hyperlink r:id="rId16">
        <w:r>
          <w:rPr>
            <w:rStyle w:val="Hyperlink"/>
            <w:sz w:val="24"/>
            <w:szCs w:val="24"/>
          </w:rPr>
          <w:t>10.1056/NEJMoa1603460</w:t>
        </w:r>
      </w:hyperlink>
      <w:bookmarkEnd w:id="48"/>
    </w:p>
    <w:p>
      <w:pPr>
        <w:pStyle w:val="Bibliography"/>
        <w:rPr/>
      </w:pPr>
      <w:bookmarkStart w:id="49" w:name="ref-wooEthnicRacialVariations2013"/>
      <w:r>
        <w:rPr>
          <w:sz w:val="24"/>
          <w:szCs w:val="24"/>
        </w:rPr>
        <w:t xml:space="preserve">15. </w:t>
        <w:tab/>
        <w:t xml:space="preserve">Woo D, Rosand J, Kidwell C, et al. The Ethnic/Racial Variations of Intracerebral Hemorrhage (ERICH) Study Protocol. </w:t>
      </w:r>
      <w:r>
        <w:rPr>
          <w:i/>
          <w:iCs/>
          <w:sz w:val="24"/>
          <w:szCs w:val="24"/>
        </w:rPr>
        <w:t>Stroke</w:t>
      </w:r>
      <w:r>
        <w:rPr>
          <w:sz w:val="24"/>
          <w:szCs w:val="24"/>
        </w:rPr>
        <w:t>. 2013;44(10). doi:</w:t>
      </w:r>
      <w:hyperlink r:id="rId17">
        <w:r>
          <w:rPr>
            <w:rStyle w:val="Hyperlink"/>
            <w:sz w:val="24"/>
            <w:szCs w:val="24"/>
          </w:rPr>
          <w:t>10.1161/STROKEAHA.113.002332</w:t>
        </w:r>
      </w:hyperlink>
      <w:bookmarkEnd w:id="49"/>
    </w:p>
    <w:p>
      <w:pPr>
        <w:pStyle w:val="Bibliography"/>
        <w:rPr>
          <w:sz w:val="24"/>
          <w:szCs w:val="24"/>
        </w:rPr>
      </w:pPr>
      <w:bookmarkStart w:id="50" w:name="ref-dogucuBayesRulesIntroduction"/>
      <w:r>
        <w:rPr>
          <w:sz w:val="24"/>
          <w:szCs w:val="24"/>
        </w:rPr>
        <w:t xml:space="preserve">16. </w:t>
        <w:tab/>
        <w:t xml:space="preserve">Dogucu M Miles Q. Ott. </w:t>
      </w:r>
      <w:r>
        <w:rPr>
          <w:i/>
          <w:iCs/>
          <w:sz w:val="24"/>
          <w:szCs w:val="24"/>
        </w:rPr>
        <w:t>Bayes Rules! An Introduction to Applied Bayesian Modeling</w:t>
      </w:r>
      <w:r>
        <w:rPr>
          <w:sz w:val="24"/>
          <w:szCs w:val="24"/>
        </w:rPr>
        <w:t>.</w:t>
      </w:r>
      <w:bookmarkEnd w:id="50"/>
    </w:p>
    <w:p>
      <w:pPr>
        <w:pStyle w:val="Bibliography"/>
        <w:rPr>
          <w:sz w:val="24"/>
          <w:szCs w:val="24"/>
        </w:rPr>
      </w:pPr>
      <w:bookmarkStart w:id="51" w:name="X7e5fcb01483c46ceec3804400aa01747d15580c"/>
      <w:r>
        <w:rPr>
          <w:sz w:val="24"/>
          <w:szCs w:val="24"/>
        </w:rPr>
        <w:t xml:space="preserve">17. </w:t>
        <w:tab/>
        <w:t xml:space="preserve">McElreath R. </w:t>
      </w:r>
      <w:r>
        <w:rPr>
          <w:i/>
          <w:iCs/>
          <w:sz w:val="24"/>
          <w:szCs w:val="24"/>
        </w:rPr>
        <w:t>Statistical Rethinking: A Bayesian Course with Examples in R and STAN</w:t>
      </w:r>
      <w:r>
        <w:rPr>
          <w:sz w:val="24"/>
          <w:szCs w:val="24"/>
        </w:rPr>
        <w:t>. 2nd ed. CRC Press; 2020.</w:t>
      </w:r>
      <w:bookmarkEnd w:id="51"/>
    </w:p>
    <w:p>
      <w:pPr>
        <w:pStyle w:val="Bibliography"/>
        <w:rPr/>
      </w:pPr>
      <w:bookmarkStart w:id="52" w:name="Xfbc06ab4e8a143dd15dec8dfd06cc82cc01ab3c"/>
      <w:r>
        <w:rPr>
          <w:sz w:val="24"/>
          <w:szCs w:val="24"/>
        </w:rPr>
        <w:t xml:space="preserve">18. </w:t>
        <w:tab/>
        <w:t xml:space="preserve">Kruschke JK. Bayesian Analysis Reporting Guidelines. </w:t>
      </w:r>
      <w:r>
        <w:rPr>
          <w:i/>
          <w:iCs/>
          <w:sz w:val="24"/>
          <w:szCs w:val="24"/>
        </w:rPr>
        <w:t>Nature Human Behaviour</w:t>
      </w:r>
      <w:r>
        <w:rPr>
          <w:sz w:val="24"/>
          <w:szCs w:val="24"/>
        </w:rPr>
        <w:t>. 2021;5(10):1282-1291. doi:</w:t>
      </w:r>
      <w:hyperlink r:id="rId18">
        <w:r>
          <w:rPr>
            <w:rStyle w:val="Hyperlink"/>
            <w:sz w:val="24"/>
            <w:szCs w:val="24"/>
          </w:rPr>
          <w:t>10.1038/s41562-021-01177-7</w:t>
        </w:r>
      </w:hyperlink>
      <w:bookmarkEnd w:id="52"/>
    </w:p>
    <w:p>
      <w:pPr>
        <w:pStyle w:val="Bibliography"/>
        <w:rPr/>
      </w:pPr>
      <w:bookmarkStart w:id="53" w:name="Xadd1365c52322e3ad3aed151084109b8ced3dcd"/>
      <w:r>
        <w:rPr>
          <w:sz w:val="24"/>
          <w:szCs w:val="24"/>
        </w:rPr>
        <w:t xml:space="preserve">19. </w:t>
        <w:tab/>
        <w:t xml:space="preserve">Debertin J, Jurado Vélez JA, Corlin L, Hidalgo B, Murray EJ. Synthesizing Subject-matter Expertise for Variable Selection in Causal Effect Estimation: A Case Study. </w:t>
      </w:r>
      <w:r>
        <w:rPr>
          <w:i/>
          <w:iCs/>
          <w:sz w:val="24"/>
          <w:szCs w:val="24"/>
        </w:rPr>
        <w:t>Epidemiology</w:t>
      </w:r>
      <w:r>
        <w:rPr>
          <w:sz w:val="24"/>
          <w:szCs w:val="24"/>
        </w:rPr>
        <w:t>. 2024;35(5):642. doi:</w:t>
      </w:r>
      <w:hyperlink r:id="rId19">
        <w:r>
          <w:rPr>
            <w:rStyle w:val="Hyperlink"/>
            <w:sz w:val="24"/>
            <w:szCs w:val="24"/>
          </w:rPr>
          <w:t>10.1097/EDE.0000000000001758</w:t>
        </w:r>
      </w:hyperlink>
      <w:bookmarkEnd w:id="53"/>
    </w:p>
    <w:p>
      <w:pPr>
        <w:pStyle w:val="Bibliography"/>
        <w:rPr/>
      </w:pPr>
      <w:bookmarkStart w:id="54" w:name="ref-tennantUseDirectedAcyclic2021"/>
      <w:r>
        <w:rPr>
          <w:sz w:val="24"/>
          <w:szCs w:val="24"/>
        </w:rPr>
        <w:t xml:space="preserve">20. </w:t>
        <w:tab/>
        <w:t xml:space="preserve">Tennant PWG, Murray EJ, Arnold KF, et al. Use of directed acyclic graphs (DAGs) to identify confounders in applied health research: Review and recommendations. </w:t>
      </w:r>
      <w:r>
        <w:rPr>
          <w:i/>
          <w:iCs/>
          <w:sz w:val="24"/>
          <w:szCs w:val="24"/>
        </w:rPr>
        <w:t>International Journal of Epidemiology</w:t>
      </w:r>
      <w:r>
        <w:rPr>
          <w:sz w:val="24"/>
          <w:szCs w:val="24"/>
        </w:rPr>
        <w:t>. 2021;50(2):620-632. doi:</w:t>
      </w:r>
      <w:hyperlink r:id="rId20">
        <w:r>
          <w:rPr>
            <w:rStyle w:val="Hyperlink"/>
            <w:sz w:val="24"/>
            <w:szCs w:val="24"/>
          </w:rPr>
          <w:t>10.1093/ije/dyaa213</w:t>
        </w:r>
      </w:hyperlink>
      <w:bookmarkEnd w:id="54"/>
    </w:p>
    <w:p>
      <w:pPr>
        <w:pStyle w:val="Bibliography"/>
        <w:rPr/>
      </w:pPr>
      <w:bookmarkStart w:id="55" w:name="ref-hernanSpecifyingTargetTrial2016"/>
      <w:r>
        <w:rPr>
          <w:sz w:val="24"/>
          <w:szCs w:val="24"/>
        </w:rPr>
        <w:t xml:space="preserve">21. </w:t>
        <w:tab/>
        <w:t xml:space="preserve">Hernán MA, Sauer BC, Hernández-Díaz S, Platt R, Shrier I. Specifying a target trial prevents immortal time bias and other self-inflicted injuries in observational analyses. </w:t>
      </w:r>
      <w:r>
        <w:rPr>
          <w:i/>
          <w:iCs/>
          <w:sz w:val="24"/>
          <w:szCs w:val="24"/>
        </w:rPr>
        <w:t>Journal of Clinical Epidemiology</w:t>
      </w:r>
      <w:r>
        <w:rPr>
          <w:sz w:val="24"/>
          <w:szCs w:val="24"/>
        </w:rPr>
        <w:t>. 2016;79:70-75. doi:</w:t>
      </w:r>
      <w:hyperlink r:id="rId21">
        <w:r>
          <w:rPr>
            <w:rStyle w:val="Hyperlink"/>
            <w:sz w:val="24"/>
            <w:szCs w:val="24"/>
          </w:rPr>
          <w:t>10.1016/j.jclinepi.2016.04.014</w:t>
        </w:r>
      </w:hyperlink>
      <w:bookmarkEnd w:id="55"/>
    </w:p>
    <w:p>
      <w:pPr>
        <w:pStyle w:val="Bibliography"/>
        <w:rPr/>
      </w:pPr>
      <w:bookmarkStart w:id="56" w:name="X7a4c185c12dbffdfd1dae8f81a04f8589333b44"/>
      <w:r>
        <w:rPr>
          <w:sz w:val="24"/>
          <w:szCs w:val="24"/>
        </w:rPr>
        <w:t xml:space="preserve">22. </w:t>
        <w:tab/>
        <w:t xml:space="preserve">Neugebauer H, Creutzfeldt CJ, Hemphill JC, Heuschmann PU, Jüttler E. DESTINY-S: Attitudes of Physicians Toward Disability and Treatment in Malignant MCA Infarction. </w:t>
      </w:r>
      <w:r>
        <w:rPr>
          <w:i/>
          <w:iCs/>
          <w:sz w:val="24"/>
          <w:szCs w:val="24"/>
        </w:rPr>
        <w:t>Neurocritical Care</w:t>
      </w:r>
      <w:r>
        <w:rPr>
          <w:sz w:val="24"/>
          <w:szCs w:val="24"/>
        </w:rPr>
        <w:t>. 2014;21(1):27-34. doi:</w:t>
      </w:r>
      <w:hyperlink r:id="rId22">
        <w:r>
          <w:rPr>
            <w:rStyle w:val="Hyperlink"/>
            <w:sz w:val="24"/>
            <w:szCs w:val="24"/>
          </w:rPr>
          <w:t>10.1007/s12028-014-9956-0</w:t>
        </w:r>
      </w:hyperlink>
      <w:bookmarkEnd w:id="56"/>
    </w:p>
    <w:p>
      <w:pPr>
        <w:pStyle w:val="Bibliography"/>
        <w:rPr/>
      </w:pPr>
      <w:bookmarkStart w:id="57" w:name="X891c4e92ab559843651bf648920cce7507bc2b7"/>
      <w:r>
        <w:rPr>
          <w:sz w:val="24"/>
          <w:szCs w:val="24"/>
        </w:rPr>
        <w:t xml:space="preserve">23. </w:t>
        <w:tab/>
        <w:t xml:space="preserve">Neugebauer H, Schnabl M, Lulé D, Heuschmann PU, Jüttler E, IGNITE Study Group (Initiative of German NeuroIntensive Trial Engagement). Attitudes of Patients and Relatives Toward Disability and Treatment in Malignant MCA Infarction. </w:t>
      </w:r>
      <w:r>
        <w:rPr>
          <w:i/>
          <w:iCs/>
          <w:sz w:val="24"/>
          <w:szCs w:val="24"/>
        </w:rPr>
        <w:t>Neurocritical Care</w:t>
      </w:r>
      <w:r>
        <w:rPr>
          <w:sz w:val="24"/>
          <w:szCs w:val="24"/>
        </w:rPr>
        <w:t>. 2017;26(2):311-318. doi:</w:t>
      </w:r>
      <w:hyperlink r:id="rId23">
        <w:r>
          <w:rPr>
            <w:rStyle w:val="Hyperlink"/>
            <w:sz w:val="24"/>
            <w:szCs w:val="24"/>
          </w:rPr>
          <w:t>10.1007/s12028-016-0362-7</w:t>
        </w:r>
      </w:hyperlink>
      <w:bookmarkEnd w:id="57"/>
    </w:p>
    <w:p>
      <w:pPr>
        <w:pStyle w:val="Bibliography"/>
        <w:rPr/>
      </w:pPr>
      <w:bookmarkStart w:id="58" w:name="X43fe660b2331ec7445277f5239a44c6686e4cba"/>
      <w:r>
        <w:rPr>
          <w:sz w:val="24"/>
          <w:szCs w:val="24"/>
        </w:rPr>
        <w:t xml:space="preserve">24. </w:t>
        <w:tab/>
        <w:t xml:space="preserve">Neugebauer H, Malakou F, Uttner I, Köpke M, Jüttler E, IGNITE Study Group (Initiative of German NeuroIntensive Trial Engagement). Attitudes of Nurses Toward Disability and Treatment in Space-Occupying Middle Cerebral Artery Stroke. </w:t>
      </w:r>
      <w:r>
        <w:rPr>
          <w:i/>
          <w:iCs/>
          <w:sz w:val="24"/>
          <w:szCs w:val="24"/>
        </w:rPr>
        <w:t>Neurocritical Care</w:t>
      </w:r>
      <w:r>
        <w:rPr>
          <w:sz w:val="24"/>
          <w:szCs w:val="24"/>
        </w:rPr>
        <w:t>. 2019;30(1):132-138. doi:</w:t>
      </w:r>
      <w:hyperlink r:id="rId24">
        <w:r>
          <w:rPr>
            <w:rStyle w:val="Hyperlink"/>
            <w:sz w:val="24"/>
            <w:szCs w:val="24"/>
          </w:rPr>
          <w:t>10.1007/s12028-018-0586-9</w:t>
        </w:r>
      </w:hyperlink>
      <w:bookmarkEnd w:id="58"/>
    </w:p>
    <w:p>
      <w:pPr>
        <w:pStyle w:val="Bibliography"/>
        <w:rPr/>
      </w:pPr>
      <w:bookmarkStart w:id="59" w:name="Xedc2e0f0a31863d3317a2038cd4180ef4585a94"/>
      <w:r>
        <w:rPr>
          <w:sz w:val="24"/>
          <w:szCs w:val="24"/>
        </w:rPr>
        <w:t xml:space="preserve">25. </w:t>
        <w:tab/>
        <w:t xml:space="preserve">Fink JN, Frampton CM, Lyden P, Lees KR, Virtual International Stroke Trials Archive Investigators. Does hemispheric lateralization influence functional and cardiovascular outcomes after stroke?: An analysis of placebo-treated patients from prospective acute stroke trials. </w:t>
      </w:r>
      <w:r>
        <w:rPr>
          <w:i/>
          <w:iCs/>
          <w:sz w:val="24"/>
          <w:szCs w:val="24"/>
        </w:rPr>
        <w:t>Stroke</w:t>
      </w:r>
      <w:r>
        <w:rPr>
          <w:sz w:val="24"/>
          <w:szCs w:val="24"/>
        </w:rPr>
        <w:t>. 2008;39(12):3335-3340. doi:</w:t>
      </w:r>
      <w:hyperlink r:id="rId25">
        <w:r>
          <w:rPr>
            <w:rStyle w:val="Hyperlink"/>
            <w:sz w:val="24"/>
            <w:szCs w:val="24"/>
          </w:rPr>
          <w:t>10.1161/STROKEAHA.108.523365</w:t>
        </w:r>
      </w:hyperlink>
      <w:bookmarkEnd w:id="59"/>
    </w:p>
    <w:p>
      <w:pPr>
        <w:pStyle w:val="Bibliography"/>
        <w:rPr/>
      </w:pPr>
      <w:bookmarkStart w:id="60" w:name="ref-almekhlafiStrokeLateralityDid2019"/>
      <w:r>
        <w:rPr>
          <w:sz w:val="24"/>
          <w:szCs w:val="24"/>
        </w:rPr>
        <w:t xml:space="preserve">26. </w:t>
        <w:tab/>
        <w:t xml:space="preserve">Almekhlafi MA, Hill MD, Roos YM, et al. Stroke Laterality Did Not Modify Outcomes in the HERMES Meta-Analysis of Individual Patient Data of 7 Trials. </w:t>
      </w:r>
      <w:r>
        <w:rPr>
          <w:i/>
          <w:iCs/>
          <w:sz w:val="24"/>
          <w:szCs w:val="24"/>
        </w:rPr>
        <w:t>Stroke</w:t>
      </w:r>
      <w:r>
        <w:rPr>
          <w:sz w:val="24"/>
          <w:szCs w:val="24"/>
        </w:rPr>
        <w:t>. 2019;50(8):2118-2124. doi:</w:t>
      </w:r>
      <w:hyperlink r:id="rId26">
        <w:r>
          <w:rPr>
            <w:rStyle w:val="Hyperlink"/>
            <w:sz w:val="24"/>
            <w:szCs w:val="24"/>
          </w:rPr>
          <w:t>10.1161/STROKEAHA.118.023102</w:t>
        </w:r>
      </w:hyperlink>
      <w:bookmarkEnd w:id="60"/>
    </w:p>
    <w:p>
      <w:pPr>
        <w:pStyle w:val="Bibliography"/>
        <w:spacing w:before="0" w:after="200"/>
        <w:rPr/>
      </w:pPr>
      <w:bookmarkStart w:id="61" w:name="X3c0ca5277cb27ba7098a1b20322a338d87eb9a8"/>
      <w:r>
        <w:rPr>
          <w:sz w:val="24"/>
          <w:szCs w:val="24"/>
        </w:rPr>
        <w:t xml:space="preserve">27. </w:t>
        <w:tab/>
        <w:t xml:space="preserve">Fink JN, Selim MH, Kumar S, et al. Is the Association of National Institutes of Health Stroke Scale Scores and Acute Magnetic Resonance Imaging Stroke Volume Equal for Patients With Right- and Left-Hemisphere Ischemic Stroke? </w:t>
      </w:r>
      <w:r>
        <w:rPr>
          <w:i/>
          <w:iCs/>
          <w:sz w:val="24"/>
          <w:szCs w:val="24"/>
        </w:rPr>
        <w:t>Stroke</w:t>
      </w:r>
      <w:r>
        <w:rPr>
          <w:sz w:val="24"/>
          <w:szCs w:val="24"/>
        </w:rPr>
        <w:t>. 2002;33(4):954-958. doi:</w:t>
      </w:r>
      <w:hyperlink r:id="rId27">
        <w:r>
          <w:rPr>
            <w:rStyle w:val="Hyperlink"/>
            <w:sz w:val="24"/>
            <w:szCs w:val="24"/>
          </w:rPr>
          <w:t>10.1161/01.STR.0000013069.24300.1D</w:t>
        </w:r>
      </w:hyperlink>
      <w:bookmarkEnd w:id="33"/>
      <w:bookmarkEnd w:id="34"/>
      <w:bookmarkEnd w:id="6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nikhilpatelmd/ich-laterality" TargetMode="External"/><Relationship Id="rId3" Type="http://schemas.openxmlformats.org/officeDocument/2006/relationships/hyperlink" Target="https://doi.org/10.1161/01.STR.32.4.891" TargetMode="External"/><Relationship Id="rId4" Type="http://schemas.openxmlformats.org/officeDocument/2006/relationships/hyperlink" Target="https://doi.org/10.1056/NEJMra2201449" TargetMode="External"/><Relationship Id="rId5" Type="http://schemas.openxmlformats.org/officeDocument/2006/relationships/hyperlink" Target="https://doi.org/10.1056/NEJMoa2308440" TargetMode="External"/><Relationship Id="rId6" Type="http://schemas.openxmlformats.org/officeDocument/2006/relationships/hyperlink" Target="https://doi.org/10.1212/WNL.0000000000207735" TargetMode="External"/><Relationship Id="rId7" Type="http://schemas.openxmlformats.org/officeDocument/2006/relationships/hyperlink" Target="https://doi.org/10.1212/01.wnl.0000167608.94237.aa" TargetMode="External"/><Relationship Id="rId8" Type="http://schemas.openxmlformats.org/officeDocument/2006/relationships/hyperlink" Target="https://doi.org/10.1016/S0140-6736(05)67024-9" TargetMode="External"/><Relationship Id="rId9" Type="http://schemas.openxmlformats.org/officeDocument/2006/relationships/hyperlink" Target="https://doi.org/10.1161/STROKEAHA.114.007385" TargetMode="External"/><Relationship Id="rId10" Type="http://schemas.openxmlformats.org/officeDocument/2006/relationships/hyperlink" Target="https://doi.org/10.3389/fneur.2021.774247" TargetMode="External"/><Relationship Id="rId11" Type="http://schemas.openxmlformats.org/officeDocument/2006/relationships/hyperlink" Target="https://doi.org/10.1186/s42466-022-00223-7" TargetMode="External"/><Relationship Id="rId12" Type="http://schemas.openxmlformats.org/officeDocument/2006/relationships/hyperlink" Target="https://doi.org/10.1161/01.STR.0000229899.66019.62" TargetMode="External"/><Relationship Id="rId13" Type="http://schemas.openxmlformats.org/officeDocument/2006/relationships/hyperlink" Target="https://doi.org/10.1159/000454775" TargetMode="External"/><Relationship Id="rId14" Type="http://schemas.openxmlformats.org/officeDocument/2006/relationships/hyperlink" Target="https://doi.org/10.1136/jnnp-2014-309870" TargetMode="External"/><Relationship Id="rId15" Type="http://schemas.openxmlformats.org/officeDocument/2006/relationships/hyperlink" Target="https://doi.org/10.1016/S0140-6736(24)00702-5" TargetMode="External"/><Relationship Id="rId16" Type="http://schemas.openxmlformats.org/officeDocument/2006/relationships/hyperlink" Target="https://doi.org/10.1056/NEJMoa1603460" TargetMode="External"/><Relationship Id="rId17" Type="http://schemas.openxmlformats.org/officeDocument/2006/relationships/hyperlink" Target="https://doi.org/10.1161/STROKEAHA.113.002332" TargetMode="External"/><Relationship Id="rId18" Type="http://schemas.openxmlformats.org/officeDocument/2006/relationships/hyperlink" Target="https://doi.org/10.1038/s41562-021-01177-7" TargetMode="External"/><Relationship Id="rId19" Type="http://schemas.openxmlformats.org/officeDocument/2006/relationships/hyperlink" Target="https://doi.org/10.1097/EDE.0000000000001758" TargetMode="External"/><Relationship Id="rId20" Type="http://schemas.openxmlformats.org/officeDocument/2006/relationships/hyperlink" Target="https://doi.org/10.1093/ije/dyaa213" TargetMode="External"/><Relationship Id="rId21" Type="http://schemas.openxmlformats.org/officeDocument/2006/relationships/hyperlink" Target="https://doi.org/10.1016/j.jclinepi.2016.04.014" TargetMode="External"/><Relationship Id="rId22" Type="http://schemas.openxmlformats.org/officeDocument/2006/relationships/hyperlink" Target="https://doi.org/10.1007/s12028-014-9956-0" TargetMode="External"/><Relationship Id="rId23" Type="http://schemas.openxmlformats.org/officeDocument/2006/relationships/hyperlink" Target="https://doi.org/10.1007/s12028-016-0362-7" TargetMode="External"/><Relationship Id="rId24" Type="http://schemas.openxmlformats.org/officeDocument/2006/relationships/hyperlink" Target="https://doi.org/10.1007/s12028-018-0586-9" TargetMode="External"/><Relationship Id="rId25" Type="http://schemas.openxmlformats.org/officeDocument/2006/relationships/hyperlink" Target="https://doi.org/10.1161/STROKEAHA.108.523365" TargetMode="External"/><Relationship Id="rId26" Type="http://schemas.openxmlformats.org/officeDocument/2006/relationships/hyperlink" Target="https://doi.org/10.1161/STROKEAHA.118.023102" TargetMode="External"/><Relationship Id="rId27" Type="http://schemas.openxmlformats.org/officeDocument/2006/relationships/hyperlink" Target="https://doi.org/10.1161/01.STR.0000013069.24300.1D" TargetMode="Externa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LibreOffice/25.8.2.2$Linux_X86_64 LibreOffice_project/580$Build-2</Application>
  <AppVersion>15.0000</AppVersion>
  <Pages>10</Pages>
  <Words>3238</Words>
  <Characters>19925</Characters>
  <CharactersWithSpaces>23103</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2025-10-27T13:58:48Z</dcterms:created>
  <dc:creator/>
  <dc:description/>
  <dc:language>en-US</dc:language>
  <cp:lastModifiedBy/>
  <dcterms:modified xsi:type="dcterms:W3CDTF">2025-10-27T09:59:40Z</dcterms:modified>
  <cp:revision>1</cp:revision>
  <dc:subject/>
  <dc:title>Patients with Left Hemispheric Intracerebral Hemorrhage are Less Likely to Receive Neurosurgical Intervention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jama.csl</vt:lpwstr>
  </property>
  <property fmtid="{D5CDD505-2E9C-101B-9397-08002B2CF9AE}" pid="10" name="date">
    <vt:lpwstr>2025-10-27</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message">
    <vt:lpwstr>False</vt:lpwstr>
  </property>
  <property fmtid="{D5CDD505-2E9C-101B-9397-08002B2CF9AE}" pid="16" name="subtitle">
    <vt:lpwstr>A Post Hoc Bayesian Analysis using data from ATACH-2 and ERICH</vt:lpwstr>
  </property>
  <property fmtid="{D5CDD505-2E9C-101B-9397-08002B2CF9AE}" pid="17" name="toc-title">
    <vt:lpwstr>Contents</vt:lpwstr>
  </property>
</Properties>
</file>