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88.png" ContentType="image/png"/>
  <Override PartName="/word/media/rId96.png" ContentType="image/png"/>
  <Override PartName="/word/media/rId92.png" ContentType="image/png"/>
  <Override PartName="/word/media/rId120.png" ContentType="image/png"/>
  <Override PartName="/word/media/rId104.png" ContentType="image/png"/>
  <Override PartName="/word/media/rId116.png" ContentType="image/png"/>
  <Override PartName="/word/media/rId108.png" ContentType="image/png"/>
  <Override PartName="/word/media/rId112.png" ContentType="image/png"/>
  <Override PartName="/word/media/rId124.png" ContentType="image/png"/>
  <Override PartName="/word/media/rId76.png" ContentType="image/png"/>
  <Override PartName="/word/media/rId100.png" ContentType="image/png"/>
  <Override PartName="/word/media/rId72.png" ContentType="image/png"/>
  <Override PartName="/word/media/rId80.png" ContentType="image/png"/>
  <Override PartName="/word/media/rId84.png" ContentType="image/png"/>
  <Override PartName="/word/media/rId145.png" ContentType="image/png"/>
  <Override PartName="/word/media/rId153.png" ContentType="image/png"/>
  <Override PartName="/word/media/rId149.png" ContentType="image/png"/>
  <Override PartName="/word/media/rId177.png" ContentType="image/png"/>
  <Override PartName="/word/media/rId161.png" ContentType="image/png"/>
  <Override PartName="/word/media/rId173.png" ContentType="image/png"/>
  <Override PartName="/word/media/rId165.png" ContentType="image/png"/>
  <Override PartName="/word/media/rId169.png" ContentType="image/png"/>
  <Override PartName="/word/media/rId181.png" ContentType="image/png"/>
  <Override PartName="/word/media/rId133.png" ContentType="image/png"/>
  <Override PartName="/word/media/rId157.png" ContentType="image/png"/>
  <Override PartName="/word/media/rId129.png" ContentType="image/png"/>
  <Override PartName="/word/media/rId137.png" ContentType="image/png"/>
  <Override PartName="/word/media/rId141.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19"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p>
    <w:p>
      <w:pPr>
        <w:pStyle w:val="BodyText"/>
      </w:pPr>
      <w:r>
        <w:t xml:space="preserve">We chose not to adjust for National Institutes of Health Stroke Scale (NIHSS) for 2 reasons: 1) it is strongly correlated with GCS as both represent quantitative representations of the neurological exam, and 2) NIHSS is partly determined by lateralized deficits such as aphasia and neglect.</w:t>
      </w:r>
    </w:p>
    <w:p>
      <w:pPr>
        <w:pStyle w:val="BodyText"/>
      </w:pPr>
      <w:r>
        <w:t xml:space="preserve">Data on midline shift, hydrocephalus, and eloquent-area involvement were not available for the analysis.</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score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zero-inflated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CrI,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EQ-VAS. ROPE indicates region of practical equivalence (0.95 to 1.05 for aOR; ± 2 points for EQ-VAS).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186" w:name="posterior-simulation-diagnostics"/>
    <w:p>
      <w:pPr>
        <w:pStyle w:val="Heading2"/>
      </w:pPr>
      <w:r>
        <w:t xml:space="preserve">Posterior Simulation Diagnostics</w:t>
      </w:r>
    </w:p>
    <w:bookmarkStart w:id="71" w:name="posterior-simulation-checks"/>
    <w:p>
      <w:pPr>
        <w:pStyle w:val="Heading3"/>
      </w:pPr>
      <w:r>
        <w:t xml:space="preserve">Posterior Simulation Checks</w:t>
      </w:r>
    </w:p>
    <w:p>
      <w:pPr>
        <w:pStyle w:val="FirstParagraph"/>
      </w:pP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End w:id="71"/>
    <w:bookmarkStart w:id="128" w:name="mcmc-chain-convergence-and-resolution"/>
    <w:p>
      <w:pPr>
        <w:pStyle w:val="Heading3"/>
      </w:pPr>
      <w:r>
        <w:t xml:space="preserve">MCMC Chain Convergence and Resolution</w:t>
      </w:r>
    </w:p>
    <w:bookmarkStart w:id="75" w:name="neurosurgical-intervention"/>
    <w:p>
      <w:pPr>
        <w:pStyle w:val="Heading4"/>
      </w:pPr>
      <w:r>
        <w:t xml:space="preserve">Neurosurgical Intervention</w:t>
      </w:r>
    </w:p>
    <w:p>
      <w:pPr>
        <w:pStyle w:val="CaptionedFigure"/>
      </w:pPr>
      <w:r>
        <w:drawing>
          <wp:inline>
            <wp:extent cx="4620126" cy="9240252"/>
            <wp:effectExtent b="0" l="0" r="0" t="0"/>
            <wp:docPr descr="Posterior diagnostic checks for Neurosurgical Intervention" title="" id="73" name="Picture"/>
            <a:graphic>
              <a:graphicData uri="http://schemas.openxmlformats.org/drawingml/2006/picture">
                <pic:pic>
                  <pic:nvPicPr>
                    <pic:cNvPr descr="manuscript_supplement_files/figure-docx/posterior%20diagnostics%20neurosurgery-1.png" id="74" name="Picture"/>
                    <pic:cNvPicPr>
                      <a:picLocks noChangeArrowheads="1" noChangeAspect="1"/>
                    </pic:cNvPicPr>
                  </pic:nvPicPr>
                  <pic:blipFill>
                    <a:blip r:embed="rId7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Neurosurgical Intervention</w:t>
      </w:r>
    </w:p>
    <w:bookmarkEnd w:id="75"/>
    <w:bookmarkStart w:id="79" w:name="ventriculostomy"/>
    <w:p>
      <w:pPr>
        <w:pStyle w:val="Heading4"/>
      </w:pPr>
      <w:r>
        <w:t xml:space="preserve">Ventriculostomy</w:t>
      </w:r>
    </w:p>
    <w:p>
      <w:pPr>
        <w:pStyle w:val="CaptionedFigure"/>
      </w:pPr>
      <w:r>
        <w:drawing>
          <wp:inline>
            <wp:extent cx="4620126" cy="9240252"/>
            <wp:effectExtent b="0" l="0" r="0" t="0"/>
            <wp:docPr descr="Posterior diagnostic checks for Ventriculostomy" title="" id="77" name="Picture"/>
            <a:graphic>
              <a:graphicData uri="http://schemas.openxmlformats.org/drawingml/2006/picture">
                <pic:pic>
                  <pic:nvPicPr>
                    <pic:cNvPr descr="manuscript_supplement_files/figure-docx/posterior%20diagnostics%20evd-1.png" id="78" name="Picture"/>
                    <pic:cNvPicPr>
                      <a:picLocks noChangeArrowheads="1" noChangeAspect="1"/>
                    </pic:cNvPicPr>
                  </pic:nvPicPr>
                  <pic:blipFill>
                    <a:blip r:embed="rId7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Ventriculostomy</w:t>
      </w:r>
    </w:p>
    <w:bookmarkEnd w:id="79"/>
    <w:bookmarkStart w:id="83" w:name="tracheostomy"/>
    <w:p>
      <w:pPr>
        <w:pStyle w:val="Heading4"/>
      </w:pPr>
      <w:r>
        <w:t xml:space="preserve">Tracheostomy</w:t>
      </w:r>
    </w:p>
    <w:p>
      <w:pPr>
        <w:pStyle w:val="CaptionedFigure"/>
      </w:pPr>
      <w:r>
        <w:drawing>
          <wp:inline>
            <wp:extent cx="4620126" cy="9240252"/>
            <wp:effectExtent b="0" l="0" r="0" t="0"/>
            <wp:docPr descr="Posterior diagnostic checks for Tracheostomy" title="" id="81" name="Picture"/>
            <a:graphic>
              <a:graphicData uri="http://schemas.openxmlformats.org/drawingml/2006/picture">
                <pic:pic>
                  <pic:nvPicPr>
                    <pic:cNvPr descr="manuscript_supplement_files/figure-docx/posterior%20diagnostics%20trach-1.png" id="82" name="Picture"/>
                    <pic:cNvPicPr>
                      <a:picLocks noChangeArrowheads="1" noChangeAspect="1"/>
                    </pic:cNvPicPr>
                  </pic:nvPicPr>
                  <pic:blipFill>
                    <a:blip r:embed="rId8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Tracheostomy</w:t>
      </w:r>
    </w:p>
    <w:bookmarkEnd w:id="83"/>
    <w:bookmarkStart w:id="87" w:name="days-of-mechanical-ventilation"/>
    <w:p>
      <w:pPr>
        <w:pStyle w:val="Heading4"/>
      </w:pPr>
      <w:r>
        <w:t xml:space="preserve">Days of Mechanical Ventilation</w:t>
      </w:r>
    </w:p>
    <w:p>
      <w:pPr>
        <w:pStyle w:val="CaptionedFigure"/>
      </w:pPr>
      <w:r>
        <w:drawing>
          <wp:inline>
            <wp:extent cx="4620126" cy="9240252"/>
            <wp:effectExtent b="0" l="0" r="0" t="0"/>
            <wp:docPr descr="Posterior diagnostic checks for Days of Mechanical Ventilation" title="" id="85" name="Picture"/>
            <a:graphic>
              <a:graphicData uri="http://schemas.openxmlformats.org/drawingml/2006/picture">
                <pic:pic>
                  <pic:nvPicPr>
                    <pic:cNvPr descr="manuscript_supplement_files/figure-docx/posterior%20diagnostics%20vent-1.png" id="86" name="Picture"/>
                    <pic:cNvPicPr>
                      <a:picLocks noChangeArrowheads="1" noChangeAspect="1"/>
                    </pic:cNvPicPr>
                  </pic:nvPicPr>
                  <pic:blipFill>
                    <a:blip r:embed="rId8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Days of Mechanical Ventilation</w:t>
      </w:r>
    </w:p>
    <w:bookmarkEnd w:id="87"/>
    <w:bookmarkStart w:id="91" w:name="wlst"/>
    <w:p>
      <w:pPr>
        <w:pStyle w:val="Heading4"/>
      </w:pPr>
      <w:r>
        <w:t xml:space="preserve">WLST</w:t>
      </w:r>
    </w:p>
    <w:p>
      <w:pPr>
        <w:pStyle w:val="CaptionedFigure"/>
      </w:pPr>
      <w:r>
        <w:drawing>
          <wp:inline>
            <wp:extent cx="4620126" cy="9240252"/>
            <wp:effectExtent b="0" l="0" r="0" t="0"/>
            <wp:docPr descr="Posterior diagnostic checks for WLST" title="" id="89" name="Picture"/>
            <a:graphic>
              <a:graphicData uri="http://schemas.openxmlformats.org/drawingml/2006/picture">
                <pic:pic>
                  <pic:nvPicPr>
                    <pic:cNvPr descr="manuscript_supplement_files/figure-docx/posterior%20diagnostics%20comfort-1.png" id="90" name="Picture"/>
                    <pic:cNvPicPr>
                      <a:picLocks noChangeArrowheads="1" noChangeAspect="1"/>
                    </pic:cNvPicPr>
                  </pic:nvPicPr>
                  <pic:blipFill>
                    <a:blip r:embed="rId8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WLST</w:t>
      </w:r>
    </w:p>
    <w:bookmarkEnd w:id="91"/>
    <w:bookmarkStart w:id="95" w:name="early-wlst"/>
    <w:p>
      <w:pPr>
        <w:pStyle w:val="Heading4"/>
      </w:pPr>
      <w:r>
        <w:t xml:space="preserve">Early WLST</w:t>
      </w:r>
    </w:p>
    <w:p>
      <w:pPr>
        <w:pStyle w:val="CaptionedFigure"/>
      </w:pPr>
      <w:r>
        <w:drawing>
          <wp:inline>
            <wp:extent cx="4620126" cy="9240252"/>
            <wp:effectExtent b="0" l="0" r="0" t="0"/>
            <wp:docPr descr="Posterior diagnostic checks for Early WLST" title="" id="93" name="Picture"/>
            <a:graphic>
              <a:graphicData uri="http://schemas.openxmlformats.org/drawingml/2006/picture">
                <pic:pic>
                  <pic:nvPicPr>
                    <pic:cNvPr descr="manuscript_supplement_files/figure-docx/posterior%20diagnostics%20early%20wlst-1.png" id="94" name="Picture"/>
                    <pic:cNvPicPr>
                      <a:picLocks noChangeArrowheads="1" noChangeAspect="1"/>
                    </pic:cNvPicPr>
                  </pic:nvPicPr>
                  <pic:blipFill>
                    <a:blip r:embed="rId9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Early WLST</w:t>
      </w:r>
    </w:p>
    <w:bookmarkEnd w:id="95"/>
    <w:bookmarkStart w:id="99" w:name="dnr"/>
    <w:p>
      <w:pPr>
        <w:pStyle w:val="Heading4"/>
      </w:pPr>
      <w:r>
        <w:t xml:space="preserve">DNR</w:t>
      </w:r>
    </w:p>
    <w:p>
      <w:pPr>
        <w:pStyle w:val="CaptionedFigure"/>
      </w:pPr>
      <w:r>
        <w:drawing>
          <wp:inline>
            <wp:extent cx="4620126" cy="9240252"/>
            <wp:effectExtent b="0" l="0" r="0" t="0"/>
            <wp:docPr descr="Posterior diagnostic checks for DNR" title="" id="97" name="Picture"/>
            <a:graphic>
              <a:graphicData uri="http://schemas.openxmlformats.org/drawingml/2006/picture">
                <pic:pic>
                  <pic:nvPicPr>
                    <pic:cNvPr descr="manuscript_supplement_files/figure-docx/posterior%20diagnostics%20dnr-1.png" id="98" name="Picture"/>
                    <pic:cNvPicPr>
                      <a:picLocks noChangeArrowheads="1" noChangeAspect="1"/>
                    </pic:cNvPicPr>
                  </pic:nvPicPr>
                  <pic:blipFill>
                    <a:blip r:embed="rId9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DNR</w:t>
      </w:r>
    </w:p>
    <w:bookmarkEnd w:id="99"/>
    <w:bookmarkStart w:id="103" w:name="mrs-90"/>
    <w:p>
      <w:pPr>
        <w:pStyle w:val="Heading4"/>
      </w:pPr>
      <w:r>
        <w:t xml:space="preserve">mRS 90</w:t>
      </w:r>
    </w:p>
    <w:p>
      <w:pPr>
        <w:pStyle w:val="CaptionedFigure"/>
      </w:pPr>
      <w:r>
        <w:drawing>
          <wp:inline>
            <wp:extent cx="4620126" cy="9240252"/>
            <wp:effectExtent b="0" l="0" r="0" t="0"/>
            <wp:docPr descr="Posterior diagnostic checks for Modified Rankin Scale at 90 Days" title="" id="101" name="Picture"/>
            <a:graphic>
              <a:graphicData uri="http://schemas.openxmlformats.org/drawingml/2006/picture">
                <pic:pic>
                  <pic:nvPicPr>
                    <pic:cNvPr descr="manuscript_supplement_files/figure-docx/posterior%20diagnostics%20mrs-1.png" id="102" name="Picture"/>
                    <pic:cNvPicPr>
                      <a:picLocks noChangeArrowheads="1" noChangeAspect="1"/>
                    </pic:cNvPicPr>
                  </pic:nvPicPr>
                  <pic:blipFill>
                    <a:blip r:embed="rId10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Modified Rankin Scale at 90 Days</w:t>
      </w:r>
    </w:p>
    <w:bookmarkEnd w:id="103"/>
    <w:bookmarkStart w:id="107" w:name="euroqol-mobility-90"/>
    <w:p>
      <w:pPr>
        <w:pStyle w:val="Heading4"/>
      </w:pPr>
      <w:r>
        <w:t xml:space="preserve">EuroQOL Mobility 90</w:t>
      </w:r>
    </w:p>
    <w:p>
      <w:pPr>
        <w:pStyle w:val="CaptionedFigure"/>
      </w:pPr>
      <w:r>
        <w:drawing>
          <wp:inline>
            <wp:extent cx="4620126" cy="9240252"/>
            <wp:effectExtent b="0" l="0" r="0" t="0"/>
            <wp:docPr descr="Posterior diagnostic checks for EuroQOL — Mobility at 90 Days" title="" id="105" name="Picture"/>
            <a:graphic>
              <a:graphicData uri="http://schemas.openxmlformats.org/drawingml/2006/picture">
                <pic:pic>
                  <pic:nvPicPr>
                    <pic:cNvPr descr="manuscript_supplement_files/figure-docx/posterior%20diagnostics%20euro%20mobility-1.png" id="106" name="Picture"/>
                    <pic:cNvPicPr>
                      <a:picLocks noChangeArrowheads="1" noChangeAspect="1"/>
                    </pic:cNvPicPr>
                  </pic:nvPicPr>
                  <pic:blipFill>
                    <a:blip r:embed="rId10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Mobility at 90 Days</w:t>
      </w:r>
    </w:p>
    <w:bookmarkEnd w:id="107"/>
    <w:bookmarkStart w:id="111" w:name="euroqol-self-care-90"/>
    <w:p>
      <w:pPr>
        <w:pStyle w:val="Heading4"/>
      </w:pPr>
      <w:r>
        <w:t xml:space="preserve">EuroQOL Self-Care 90</w:t>
      </w:r>
    </w:p>
    <w:p>
      <w:pPr>
        <w:pStyle w:val="CaptionedFigure"/>
      </w:pPr>
      <w:r>
        <w:drawing>
          <wp:inline>
            <wp:extent cx="4620126" cy="9240252"/>
            <wp:effectExtent b="0" l="0" r="0" t="0"/>
            <wp:docPr descr="Posterior diagnostic checks for EuroQOL — Self-Care at 90 Days" title="" id="109" name="Picture"/>
            <a:graphic>
              <a:graphicData uri="http://schemas.openxmlformats.org/drawingml/2006/picture">
                <pic:pic>
                  <pic:nvPicPr>
                    <pic:cNvPr descr="manuscript_supplement_files/figure-docx/posterior%20diagnostics%20euro%20selfcare-1.png" id="110" name="Picture"/>
                    <pic:cNvPicPr>
                      <a:picLocks noChangeArrowheads="1" noChangeAspect="1"/>
                    </pic:cNvPicPr>
                  </pic:nvPicPr>
                  <pic:blipFill>
                    <a:blip r:embed="rId108"/>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Self-Care at 90 Days</w:t>
      </w:r>
    </w:p>
    <w:bookmarkEnd w:id="111"/>
    <w:bookmarkStart w:id="115" w:name="euroqol-usual-activities-90"/>
    <w:p>
      <w:pPr>
        <w:pStyle w:val="Heading4"/>
      </w:pPr>
      <w:r>
        <w:t xml:space="preserve">EuroQOL Usual Activities 90</w:t>
      </w:r>
    </w:p>
    <w:p>
      <w:pPr>
        <w:pStyle w:val="CaptionedFigure"/>
      </w:pPr>
      <w:r>
        <w:drawing>
          <wp:inline>
            <wp:extent cx="4620126" cy="9240252"/>
            <wp:effectExtent b="0" l="0" r="0" t="0"/>
            <wp:docPr descr="Posterior diagnostic checks for EuroQOL — Usual Activities at 90 Days" title="" id="113" name="Picture"/>
            <a:graphic>
              <a:graphicData uri="http://schemas.openxmlformats.org/drawingml/2006/picture">
                <pic:pic>
                  <pic:nvPicPr>
                    <pic:cNvPr descr="manuscript_supplement_files/figure-docx/posterior%20diagnostics%20euro%20usual-1.png" id="114" name="Picture"/>
                    <pic:cNvPicPr>
                      <a:picLocks noChangeArrowheads="1" noChangeAspect="1"/>
                    </pic:cNvPicPr>
                  </pic:nvPicPr>
                  <pic:blipFill>
                    <a:blip r:embed="rId112"/>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Usual Activities at 90 Days</w:t>
      </w:r>
    </w:p>
    <w:bookmarkEnd w:id="115"/>
    <w:bookmarkStart w:id="119" w:name="euroqol-paindiscomfort-90"/>
    <w:p>
      <w:pPr>
        <w:pStyle w:val="Heading4"/>
      </w:pPr>
      <w:r>
        <w:t xml:space="preserve">EuroQOL Pain/Discomfort 90</w:t>
      </w:r>
    </w:p>
    <w:p>
      <w:pPr>
        <w:pStyle w:val="CaptionedFigure"/>
      </w:pPr>
      <w:r>
        <w:drawing>
          <wp:inline>
            <wp:extent cx="4620126" cy="9240252"/>
            <wp:effectExtent b="0" l="0" r="0" t="0"/>
            <wp:docPr descr="Posterior diagnostic checks for EuroQOL — Pain/Discomfort at 90 Days" title="" id="117" name="Picture"/>
            <a:graphic>
              <a:graphicData uri="http://schemas.openxmlformats.org/drawingml/2006/picture">
                <pic:pic>
                  <pic:nvPicPr>
                    <pic:cNvPr descr="manuscript_supplement_files/figure-docx/posterior%20diagnostics%20euro%20pain-1.png" id="118" name="Picture"/>
                    <pic:cNvPicPr>
                      <a:picLocks noChangeArrowheads="1" noChangeAspect="1"/>
                    </pic:cNvPicPr>
                  </pic:nvPicPr>
                  <pic:blipFill>
                    <a:blip r:embed="rId116"/>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Pain/Discomfort at 90 Days</w:t>
      </w:r>
    </w:p>
    <w:bookmarkEnd w:id="119"/>
    <w:bookmarkStart w:id="123" w:name="euroqol-anxietydepression-90"/>
    <w:p>
      <w:pPr>
        <w:pStyle w:val="Heading4"/>
      </w:pPr>
      <w:r>
        <w:t xml:space="preserve">EuroQOL Anxiety/Depression 90</w:t>
      </w:r>
    </w:p>
    <w:p>
      <w:pPr>
        <w:pStyle w:val="CaptionedFigure"/>
      </w:pPr>
      <w:r>
        <w:drawing>
          <wp:inline>
            <wp:extent cx="4620126" cy="9240252"/>
            <wp:effectExtent b="0" l="0" r="0" t="0"/>
            <wp:docPr descr="Posterior diagnostic checks for EuroQOL — Anxiety/Depression at 90 Days" title="" id="121" name="Picture"/>
            <a:graphic>
              <a:graphicData uri="http://schemas.openxmlformats.org/drawingml/2006/picture">
                <pic:pic>
                  <pic:nvPicPr>
                    <pic:cNvPr descr="manuscript_supplement_files/figure-docx/posterior%20diagnostics%20euro%20anxiety-1.png" id="122" name="Picture"/>
                    <pic:cNvPicPr>
                      <a:picLocks noChangeArrowheads="1" noChangeAspect="1"/>
                    </pic:cNvPicPr>
                  </pic:nvPicPr>
                  <pic:blipFill>
                    <a:blip r:embed="rId120"/>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Anxiety/Depression at 90 Days</w:t>
      </w:r>
    </w:p>
    <w:bookmarkEnd w:id="123"/>
    <w:bookmarkStart w:id="127" w:name="euroqol-vas-90"/>
    <w:p>
      <w:pPr>
        <w:pStyle w:val="Heading4"/>
      </w:pPr>
      <w:r>
        <w:t xml:space="preserve">EuroQOL VAS 90</w:t>
      </w:r>
    </w:p>
    <w:p>
      <w:pPr>
        <w:pStyle w:val="CaptionedFigure"/>
      </w:pPr>
      <w:r>
        <w:drawing>
          <wp:inline>
            <wp:extent cx="4620126" cy="9240252"/>
            <wp:effectExtent b="0" l="0" r="0" t="0"/>
            <wp:docPr descr="Posterior diagnostic checks for EuroQOL — VAS at 90 Days" title="" id="125" name="Picture"/>
            <a:graphic>
              <a:graphicData uri="http://schemas.openxmlformats.org/drawingml/2006/picture">
                <pic:pic>
                  <pic:nvPicPr>
                    <pic:cNvPr descr="manuscript_supplement_files/figure-docx/posterior%20diagnostics%20euro%20vas-1.png" id="126" name="Picture"/>
                    <pic:cNvPicPr>
                      <a:picLocks noChangeArrowheads="1" noChangeAspect="1"/>
                    </pic:cNvPicPr>
                  </pic:nvPicPr>
                  <pic:blipFill>
                    <a:blip r:embed="rId124"/>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VAS at 90 Days</w:t>
      </w:r>
    </w:p>
    <w:bookmarkEnd w:id="127"/>
    <w:bookmarkEnd w:id="128"/>
    <w:bookmarkStart w:id="185" w:name="posterior-predictive-checks"/>
    <w:p>
      <w:pPr>
        <w:pStyle w:val="Heading3"/>
      </w:pPr>
      <w:r>
        <w:t xml:space="preserve">Posterior predictive checks</w:t>
      </w:r>
    </w:p>
    <w:bookmarkStart w:id="132" w:name="neurosurgical-intervention-1"/>
    <w:p>
      <w:pPr>
        <w:pStyle w:val="Heading4"/>
      </w:pPr>
      <w:r>
        <w:t xml:space="preserve">Neurosurgical Intervention</w:t>
      </w:r>
    </w:p>
    <w:p>
      <w:pPr>
        <w:pStyle w:val="CaptionedFigure"/>
      </w:pPr>
      <w:r>
        <w:drawing>
          <wp:inline>
            <wp:extent cx="4620126" cy="3696101"/>
            <wp:effectExtent b="0" l="0" r="0" t="0"/>
            <wp:docPr descr="Posterior predictive checks for Neurosurgical Intervention" title="" id="130" name="Picture"/>
            <a:graphic>
              <a:graphicData uri="http://schemas.openxmlformats.org/drawingml/2006/picture">
                <pic:pic>
                  <pic:nvPicPr>
                    <pic:cNvPr descr="manuscript_supplement_files/figure-docx/posterior%20predictions%20neurosurgery-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Neurosurgical Intervention</w:t>
      </w:r>
    </w:p>
    <w:bookmarkEnd w:id="132"/>
    <w:bookmarkStart w:id="136" w:name="ventriculostomy-1"/>
    <w:p>
      <w:pPr>
        <w:pStyle w:val="Heading4"/>
      </w:pPr>
      <w:r>
        <w:t xml:space="preserve">Ventriculostomy</w:t>
      </w:r>
    </w:p>
    <w:p>
      <w:pPr>
        <w:pStyle w:val="CaptionedFigure"/>
      </w:pPr>
      <w:r>
        <w:drawing>
          <wp:inline>
            <wp:extent cx="4620126" cy="3696101"/>
            <wp:effectExtent b="0" l="0" r="0" t="0"/>
            <wp:docPr descr="Posterior predictive checks for Ventriculostomy" title="" id="134" name="Picture"/>
            <a:graphic>
              <a:graphicData uri="http://schemas.openxmlformats.org/drawingml/2006/picture">
                <pic:pic>
                  <pic:nvPicPr>
                    <pic:cNvPr descr="manuscript_supplement_files/figure-docx/posterior%20predictions%20evd-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Ventriculostomy</w:t>
      </w:r>
    </w:p>
    <w:bookmarkEnd w:id="136"/>
    <w:bookmarkStart w:id="140" w:name="tracheostomy-1"/>
    <w:p>
      <w:pPr>
        <w:pStyle w:val="Heading4"/>
      </w:pPr>
      <w:r>
        <w:t xml:space="preserve">Tracheostomy</w:t>
      </w:r>
    </w:p>
    <w:p>
      <w:pPr>
        <w:pStyle w:val="CaptionedFigure"/>
      </w:pPr>
      <w:r>
        <w:drawing>
          <wp:inline>
            <wp:extent cx="4620126" cy="3696101"/>
            <wp:effectExtent b="0" l="0" r="0" t="0"/>
            <wp:docPr descr="Posterior predictive checks for Tracheostomy" title="" id="138" name="Picture"/>
            <a:graphic>
              <a:graphicData uri="http://schemas.openxmlformats.org/drawingml/2006/picture">
                <pic:pic>
                  <pic:nvPicPr>
                    <pic:cNvPr descr="manuscript_supplement_files/figure-docx/posterior%20predictions%20trach-1.png" id="139" name="Picture"/>
                    <pic:cNvPicPr>
                      <a:picLocks noChangeArrowheads="1" noChangeAspect="1"/>
                    </pic:cNvPicPr>
                  </pic:nvPicPr>
                  <pic:blipFill>
                    <a:blip r:embed="rId1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Tracheostomy</w:t>
      </w:r>
    </w:p>
    <w:bookmarkEnd w:id="140"/>
    <w:bookmarkStart w:id="144" w:name="days-of-mechanical-ventilation-1"/>
    <w:p>
      <w:pPr>
        <w:pStyle w:val="Heading4"/>
      </w:pPr>
      <w:r>
        <w:t xml:space="preserve">Days of Mechanical Ventilation</w:t>
      </w:r>
    </w:p>
    <w:p>
      <w:pPr>
        <w:pStyle w:val="CaptionedFigure"/>
      </w:pPr>
      <w:r>
        <w:drawing>
          <wp:inline>
            <wp:extent cx="4620126" cy="3696101"/>
            <wp:effectExtent b="0" l="0" r="0" t="0"/>
            <wp:docPr descr="Posterior predictive checks for Days of Mechanical Ventilation" title="" id="142" name="Picture"/>
            <a:graphic>
              <a:graphicData uri="http://schemas.openxmlformats.org/drawingml/2006/picture">
                <pic:pic>
                  <pic:nvPicPr>
                    <pic:cNvPr descr="manuscript_supplement_files/figure-docx/posterior%20predictions%20vent-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Days of Mechanical Ventilation</w:t>
      </w:r>
    </w:p>
    <w:bookmarkEnd w:id="144"/>
    <w:bookmarkStart w:id="148" w:name="wlst-1"/>
    <w:p>
      <w:pPr>
        <w:pStyle w:val="Heading4"/>
      </w:pPr>
      <w:r>
        <w:t xml:space="preserve">WLST</w:t>
      </w:r>
    </w:p>
    <w:p>
      <w:pPr>
        <w:pStyle w:val="CaptionedFigure"/>
      </w:pPr>
      <w:r>
        <w:drawing>
          <wp:inline>
            <wp:extent cx="4620126" cy="3696101"/>
            <wp:effectExtent b="0" l="0" r="0" t="0"/>
            <wp:docPr descr="Posterior predictive checks for WLST" title="" id="146" name="Picture"/>
            <a:graphic>
              <a:graphicData uri="http://schemas.openxmlformats.org/drawingml/2006/picture">
                <pic:pic>
                  <pic:nvPicPr>
                    <pic:cNvPr descr="manuscript_supplement_files/figure-docx/posterior%20predictions%20comfort-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WLST</w:t>
      </w:r>
    </w:p>
    <w:bookmarkEnd w:id="148"/>
    <w:bookmarkStart w:id="152" w:name="early-wlst-1"/>
    <w:p>
      <w:pPr>
        <w:pStyle w:val="Heading4"/>
      </w:pPr>
      <w:r>
        <w:t xml:space="preserve">Early WLST</w:t>
      </w:r>
    </w:p>
    <w:p>
      <w:pPr>
        <w:pStyle w:val="CaptionedFigure"/>
      </w:pPr>
      <w:r>
        <w:drawing>
          <wp:inline>
            <wp:extent cx="4620126" cy="3696101"/>
            <wp:effectExtent b="0" l="0" r="0" t="0"/>
            <wp:docPr descr="Posterior predictive checks for Early WLST" title="" id="150" name="Picture"/>
            <a:graphic>
              <a:graphicData uri="http://schemas.openxmlformats.org/drawingml/2006/picture">
                <pic:pic>
                  <pic:nvPicPr>
                    <pic:cNvPr descr="manuscript_supplement_files/figure-docx/posterior%20predictions%20early%20wlst-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Early WLST</w:t>
      </w:r>
    </w:p>
    <w:bookmarkEnd w:id="152"/>
    <w:bookmarkStart w:id="156" w:name="dnr-1"/>
    <w:p>
      <w:pPr>
        <w:pStyle w:val="Heading4"/>
      </w:pPr>
      <w:r>
        <w:t xml:space="preserve">DNR</w:t>
      </w:r>
    </w:p>
    <w:p>
      <w:pPr>
        <w:pStyle w:val="CaptionedFigure"/>
      </w:pPr>
      <w:r>
        <w:drawing>
          <wp:inline>
            <wp:extent cx="4620126" cy="3696101"/>
            <wp:effectExtent b="0" l="0" r="0" t="0"/>
            <wp:docPr descr="Posterior predictive checks for DNR" title="" id="154" name="Picture"/>
            <a:graphic>
              <a:graphicData uri="http://schemas.openxmlformats.org/drawingml/2006/picture">
                <pic:pic>
                  <pic:nvPicPr>
                    <pic:cNvPr descr="manuscript_supplement_files/figure-docx/posterior%20predictions%20dnr-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DNR</w:t>
      </w:r>
    </w:p>
    <w:bookmarkEnd w:id="156"/>
    <w:bookmarkStart w:id="160" w:name="mrs-90-1"/>
    <w:p>
      <w:pPr>
        <w:pStyle w:val="Heading4"/>
      </w:pPr>
      <w:r>
        <w:t xml:space="preserve">mRS 90</w:t>
      </w:r>
    </w:p>
    <w:p>
      <w:pPr>
        <w:pStyle w:val="CaptionedFigure"/>
      </w:pPr>
      <w:r>
        <w:drawing>
          <wp:inline>
            <wp:extent cx="4620126" cy="3696101"/>
            <wp:effectExtent b="0" l="0" r="0" t="0"/>
            <wp:docPr descr="Posterior predictive checks for Modified Rankin Scale at 90 Days" title="" id="158" name="Picture"/>
            <a:graphic>
              <a:graphicData uri="http://schemas.openxmlformats.org/drawingml/2006/picture">
                <pic:pic>
                  <pic:nvPicPr>
                    <pic:cNvPr descr="manuscript_supplement_files/figure-docx/posterior%20predictions%20mrs-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Modified Rankin Scale at 90 Days</w:t>
      </w:r>
    </w:p>
    <w:bookmarkEnd w:id="160"/>
    <w:bookmarkStart w:id="164" w:name="euroqol-mobility-90-1"/>
    <w:p>
      <w:pPr>
        <w:pStyle w:val="Heading4"/>
      </w:pPr>
      <w:r>
        <w:t xml:space="preserve">EuroQOL Mobility 90</w:t>
      </w:r>
    </w:p>
    <w:p>
      <w:pPr>
        <w:pStyle w:val="CaptionedFigure"/>
      </w:pPr>
      <w:r>
        <w:drawing>
          <wp:inline>
            <wp:extent cx="4620126" cy="3696101"/>
            <wp:effectExtent b="0" l="0" r="0" t="0"/>
            <wp:docPr descr="Posterior predictive checks for EuroQOL — Mobility at 90 Days" title="" id="162" name="Picture"/>
            <a:graphic>
              <a:graphicData uri="http://schemas.openxmlformats.org/drawingml/2006/picture">
                <pic:pic>
                  <pic:nvPicPr>
                    <pic:cNvPr descr="manuscript_supplement_files/figure-docx/posterior%20predictions%20euro%20mobility-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Mobility at 90 Days</w:t>
      </w:r>
    </w:p>
    <w:bookmarkEnd w:id="164"/>
    <w:bookmarkStart w:id="168" w:name="euroqol-self-care-90-1"/>
    <w:p>
      <w:pPr>
        <w:pStyle w:val="Heading4"/>
      </w:pPr>
      <w:r>
        <w:t xml:space="preserve">EuroQOL Self-Care 90</w:t>
      </w:r>
    </w:p>
    <w:p>
      <w:pPr>
        <w:pStyle w:val="CaptionedFigure"/>
      </w:pPr>
      <w:r>
        <w:drawing>
          <wp:inline>
            <wp:extent cx="4620126" cy="3696101"/>
            <wp:effectExtent b="0" l="0" r="0" t="0"/>
            <wp:docPr descr="Posterior predictive checks for EuroQOL — Self-Care at 90 Days" title="" id="166" name="Picture"/>
            <a:graphic>
              <a:graphicData uri="http://schemas.openxmlformats.org/drawingml/2006/picture">
                <pic:pic>
                  <pic:nvPicPr>
                    <pic:cNvPr descr="manuscript_supplement_files/figure-docx/posterior%20predictions%20euro%20selfcare-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Self-Care at 90 Days</w:t>
      </w:r>
    </w:p>
    <w:bookmarkEnd w:id="168"/>
    <w:bookmarkStart w:id="172" w:name="euroqol-usual-activities-90-1"/>
    <w:p>
      <w:pPr>
        <w:pStyle w:val="Heading4"/>
      </w:pPr>
      <w:r>
        <w:t xml:space="preserve">EuroQOL Usual Activities 90</w:t>
      </w:r>
    </w:p>
    <w:p>
      <w:pPr>
        <w:pStyle w:val="CaptionedFigure"/>
      </w:pPr>
      <w:r>
        <w:drawing>
          <wp:inline>
            <wp:extent cx="4620126" cy="3696101"/>
            <wp:effectExtent b="0" l="0" r="0" t="0"/>
            <wp:docPr descr="Posterior predictive checks for EuroQOL — Usual Activities at 90 Days" title="" id="170" name="Picture"/>
            <a:graphic>
              <a:graphicData uri="http://schemas.openxmlformats.org/drawingml/2006/picture">
                <pic:pic>
                  <pic:nvPicPr>
                    <pic:cNvPr descr="manuscript_supplement_files/figure-docx/posterior%20predictions%20euro%20usual-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Usual Activities at 90 Days</w:t>
      </w:r>
    </w:p>
    <w:bookmarkEnd w:id="172"/>
    <w:bookmarkStart w:id="176" w:name="euroqol-paindiscomfort-90-1"/>
    <w:p>
      <w:pPr>
        <w:pStyle w:val="Heading4"/>
      </w:pPr>
      <w:r>
        <w:t xml:space="preserve">EuroQOL Pain/Discomfort 90</w:t>
      </w:r>
    </w:p>
    <w:p>
      <w:pPr>
        <w:pStyle w:val="CaptionedFigure"/>
      </w:pPr>
      <w:r>
        <w:drawing>
          <wp:inline>
            <wp:extent cx="4620126" cy="3696101"/>
            <wp:effectExtent b="0" l="0" r="0" t="0"/>
            <wp:docPr descr="Posterior predictive checks for EuroQOL — Pain/Discomfort at 90 Days" title="" id="174" name="Picture"/>
            <a:graphic>
              <a:graphicData uri="http://schemas.openxmlformats.org/drawingml/2006/picture">
                <pic:pic>
                  <pic:nvPicPr>
                    <pic:cNvPr descr="manuscript_supplement_files/figure-docx/posterior%20predictions%20euro%20pain-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Pain/Discomfort at 90 Days</w:t>
      </w:r>
    </w:p>
    <w:bookmarkEnd w:id="176"/>
    <w:bookmarkStart w:id="180" w:name="euroqol-anxietydepression-90-1"/>
    <w:p>
      <w:pPr>
        <w:pStyle w:val="Heading4"/>
      </w:pPr>
      <w:r>
        <w:t xml:space="preserve">EuroQOL Anxiety/Depression 90</w:t>
      </w:r>
    </w:p>
    <w:p>
      <w:pPr>
        <w:pStyle w:val="CaptionedFigure"/>
      </w:pPr>
      <w:r>
        <w:drawing>
          <wp:inline>
            <wp:extent cx="4620126" cy="3696101"/>
            <wp:effectExtent b="0" l="0" r="0" t="0"/>
            <wp:docPr descr="Posterior predictive checks for EuroQOL — Anxiety/Depression at 90 Days" title="" id="178" name="Picture"/>
            <a:graphic>
              <a:graphicData uri="http://schemas.openxmlformats.org/drawingml/2006/picture">
                <pic:pic>
                  <pic:nvPicPr>
                    <pic:cNvPr descr="manuscript_supplement_files/figure-docx/posterior%20predictions%20euro%20anxiety-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Anxiety/Depression at 90 Days</w:t>
      </w:r>
    </w:p>
    <w:bookmarkEnd w:id="180"/>
    <w:bookmarkStart w:id="184" w:name="euroqol-vas-90-1"/>
    <w:p>
      <w:pPr>
        <w:pStyle w:val="Heading4"/>
      </w:pPr>
      <w:r>
        <w:t xml:space="preserve">EuroQOL VAS 90</w:t>
      </w:r>
    </w:p>
    <w:p>
      <w:pPr>
        <w:pStyle w:val="CaptionedFigure"/>
      </w:pPr>
      <w:r>
        <w:drawing>
          <wp:inline>
            <wp:extent cx="4620126" cy="3696101"/>
            <wp:effectExtent b="0" l="0" r="0" t="0"/>
            <wp:docPr descr="Posterior predictive checks for EuroQOL — VAS at 90 Days" title="" id="182" name="Picture"/>
            <a:graphic>
              <a:graphicData uri="http://schemas.openxmlformats.org/drawingml/2006/picture">
                <pic:pic>
                  <pic:nvPicPr>
                    <pic:cNvPr descr="manuscript_supplement_files/figure-docx/posterior%20predictions%20euro%20va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VAS at 90 Days</w:t>
      </w:r>
    </w:p>
    <w:bookmarkEnd w:id="184"/>
    <w:bookmarkEnd w:id="185"/>
    <w:bookmarkEnd w:id="186"/>
    <w:bookmarkStart w:id="208"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diffuse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directionally consistent with the primary findings.</w:t>
      </w:r>
    </w:p>
    <w:bookmarkStart w:id="188"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187" w:name="tbl-subgroup-interactions"/>
          <w:p>
            <w:pPr>
              <w:jc w:val="center"/>
            </w:pPr>
            <w:pPr>
              <w:jc w:val="left"/>
              <w:spacing w:before="200"/>
              <w:pStyle w:val="ImageCaption"/>
            </w:pPr>
            <w:r>
              <w:t xml:space="preserve">Table 10: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difference (aOR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 (aOR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Percentage of posterior within 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CrI)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Probability subgroup aOR exceeds reference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187"/>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188"/>
    <w:bookmarkStart w:id="195" w:name="table-2-with-different-priors"/>
    <w:p>
      <w:pPr>
        <w:pStyle w:val="Heading3"/>
      </w:pPr>
      <w:r>
        <w:t xml:space="preserve">Table 2 with Different Priors</w:t>
      </w:r>
    </w:p>
    <w:bookmarkStart w:id="190"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89" w:name="tbl-2-left-prior"/>
          <w:p>
            <w:pPr>
              <w:jc w:val="center"/>
            </w:pPr>
            <w:pPr>
              <w:jc w:val="left"/>
              <w:spacing w:before="200"/>
              <w:pStyle w:val="ImageCaption"/>
            </w:pPr>
            <w:r>
              <w:t xml:space="preserve">Table 11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89"/>
        </w:tc>
      </w:tr>
    </w:tbl>
    <w:bookmarkEnd w:id="190"/>
    <w:bookmarkStart w:id="192"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1" w:name="tbl-2-right-prior"/>
          <w:p>
            <w:pPr>
              <w:jc w:val="center"/>
            </w:pPr>
            <w:pPr>
              <w:jc w:val="left"/>
              <w:spacing w:before="200"/>
              <w:pStyle w:val="ImageCaption"/>
            </w:pPr>
            <w:r>
              <w:t xml:space="preserve">Table 12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1"/>
        </w:tc>
      </w:tr>
    </w:tbl>
    <w:bookmarkEnd w:id="192"/>
    <w:bookmarkStart w:id="194"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3" w:name="tbl-2-flat-prior"/>
          <w:p>
            <w:pPr>
              <w:jc w:val="center"/>
            </w:pPr>
            <w:pPr>
              <w:jc w:val="left"/>
              <w:spacing w:before="200"/>
              <w:pStyle w:val="ImageCaption"/>
            </w:pPr>
            <w:r>
              <w:t xml:space="preserve">Table 13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193"/>
        </w:tc>
      </w:tr>
    </w:tbl>
    <w:bookmarkEnd w:id="194"/>
    <w:bookmarkEnd w:id="195"/>
    <w:bookmarkStart w:id="202" w:name="table-3-with-different-priors"/>
    <w:p>
      <w:pPr>
        <w:pStyle w:val="Heading3"/>
      </w:pPr>
      <w:r>
        <w:t xml:space="preserve">Table 3 with Different Priors</w:t>
      </w:r>
    </w:p>
    <w:bookmarkStart w:id="197"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96" w:name="tbl-4-left-prior"/>
          <w:p>
            <w:pPr>
              <w:jc w:val="center"/>
            </w:pPr>
            <w:pPr>
              <w:jc w:val="left"/>
              <w:spacing w:before="200"/>
              <w:pStyle w:val="ImageCaption"/>
            </w:pPr>
            <w:r>
              <w:t xml:space="preserve">Table 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6"/>
        </w:tc>
      </w:tr>
    </w:tbl>
    <w:bookmarkEnd w:id="197"/>
    <w:bookmarkStart w:id="199"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8" w:name="tbl-4-right-prior"/>
          <w:p>
            <w:pPr>
              <w:jc w:val="center"/>
            </w:pPr>
            <w:pPr>
              <w:jc w:val="left"/>
              <w:spacing w:before="200"/>
              <w:pStyle w:val="ImageCaption"/>
            </w:pPr>
            <w:r>
              <w:t xml:space="preserve">Table 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198"/>
        </w:tc>
      </w:tr>
    </w:tbl>
    <w:bookmarkEnd w:id="199"/>
    <w:bookmarkStart w:id="201"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00" w:name="tbl-4-flat-prior"/>
          <w:p>
            <w:pPr>
              <w:jc w:val="center"/>
            </w:pPr>
            <w:pPr>
              <w:jc w:val="left"/>
              <w:spacing w:before="200"/>
              <w:pStyle w:val="ImageCaption"/>
            </w:pPr>
            <w:r>
              <w:t xml:space="preserve">Table 16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200"/>
        </w:tc>
      </w:tr>
    </w:tbl>
    <w:bookmarkEnd w:id="201"/>
    <w:bookmarkEnd w:id="202"/>
    <w:bookmarkStart w:id="205"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These models were fitted to the complete-case data for all primary, secondary, and functional outcomes.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03" w:name="tbl-2-complete-case-sensitivity"/>
          <w:p>
            <w:pPr>
              <w:jc w:val="center"/>
            </w:pPr>
            <w:pPr>
              <w:jc w:val="left"/>
              <w:spacing w:before="200"/>
              <w:pStyle w:val="ImageCaption"/>
            </w:pPr>
            <w:r>
              <w:t xml:space="preserve">Table 17: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CrI)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Posterior 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CrI, credible interval; GCS, Glasgow Coma Scale; ICH, intracerebral hemorrhage; IQR, interquartile range; and IVH, intraventricular hemorrhage.</w:t>
                  </w:r>
                </w:p>
              </w:tc>
            </w:tr>
          </w:tbl>
          <w:bookmarkEnd w:id="203"/>
        </w:tc>
      </w:tr>
    </w:tbl>
    <w:tbl>
      <w:tblPr>
        <w:tblStyle w:val="Table"/>
        <w:tblW w:type="pct" w:w="5000"/>
        <w:tblLayout w:type="fixed"/>
        <w:tblLook w:firstRow="0" w:lastRow="0" w:firstColumn="0" w:lastColumn="0" w:noHBand="0" w:noVBand="0" w:val="0000"/>
      </w:tblPr>
      <w:tblGrid>
        <w:gridCol w:w="7920"/>
      </w:tblGrid>
      <w:tr>
        <w:tc>
          <w:tcPr/>
          <w:bookmarkStart w:id="204" w:name="tbl-4-complete-case-sensitivity"/>
          <w:p>
            <w:pPr>
              <w:jc w:val="center"/>
            </w:pPr>
            <w:pPr>
              <w:jc w:val="left"/>
              <w:spacing w:before="200"/>
              <w:pStyle w:val="ImageCaption"/>
            </w:pPr>
            <w:r>
              <w:t xml:space="preserve">Table 18: Functional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CrI)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Posterior 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(1.02 - 1.07)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(1.02 - 1.06)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EQ-VAS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(-3.4 - 0.3)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69.2%</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EQ-VAS). Models are adjusted for age, admission GCS, ICH location, ICH volume, IVH, and study (as random intercept); Reference Category: Left Hemisphere. ROPE indicates region of practical equivalence (0.95 to 1.05 for ordinal; ± 2 points for EQ-VAS). For EQ-VAS, probability of difference is defined as Mean Difference &lt; 0, and substantial difference as &lt; -5 points. aOR indicates adjusted odds ratio; CrI, credible interval; GCS, Glasgow Coma Scale; ICH, intracerebral hemorrhage; and IVH, intraventricular hemorrhage.</w:t>
                  </w:r>
                </w:p>
              </w:tc>
            </w:tr>
          </w:tbl>
          <w:bookmarkEnd w:id="204"/>
        </w:tc>
      </w:tr>
    </w:tbl>
    <w:bookmarkEnd w:id="205"/>
    <w:bookmarkStart w:id="207"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06" w:name="tbl-atach-site-sensitivity"/>
          <w:p>
            <w:pPr>
              <w:jc w:val="center"/>
            </w:pPr>
            <w:pPr>
              <w:jc w:val="left"/>
              <w:spacing w:before="200"/>
              <w:pStyle w:val="ImageCaption"/>
            </w:pPr>
            <w:r>
              <w:t xml:space="preserve">Table 19: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aOR (95% CrI)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Posterior Probability of difference (aOR &gt;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Posterior Probability of a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Percentage of posterior within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CrI = 95% credible interval.</w:t>
                  </w:r>
                </w:p>
              </w:tc>
            </w:tr>
          </w:tbl>
          <w:bookmarkEnd w:id="206"/>
        </w:tc>
      </w:tr>
    </w:tbl>
    <w:p>
      <w:pPr>
        <w:pStyle w:val="BodyText"/>
      </w:pPr>
      <w:r>
        <w:t xml:space="preserve">Inclusion of the site-level random intercept modestly attenuated the point estimate for the laterality association,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07"/>
    <w:bookmarkEnd w:id="208"/>
    <w:bookmarkStart w:id="218"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217" w:name="refs"/>
    <w:bookmarkStart w:id="210"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09">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 J. Epidemiol.</w:t>
      </w:r>
      <w:r>
        <w:t xml:space="preserve"> 2021;50:620–632.</w:t>
      </w:r>
      <w:r>
        <w:t xml:space="preserve"> </w:t>
      </w:r>
    </w:p>
    <w:bookmarkEnd w:id="210"/>
    <w:bookmarkStart w:id="212"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11">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 J. Respir. Crit. Care Med.</w:t>
      </w:r>
      <w:r>
        <w:t xml:space="preserve"> 2021;203:543–552.</w:t>
      </w:r>
      <w:r>
        <w:t xml:space="preserve"> </w:t>
      </w:r>
    </w:p>
    <w:bookmarkEnd w:id="212"/>
    <w:bookmarkStart w:id="214" w:name="Xfbc06ab4e8a143dd15dec8dfd06cc82cc01ab3c"/>
    <w:p>
      <w:pPr>
        <w:pStyle w:val="Bibliography"/>
      </w:pPr>
      <w:r>
        <w:t xml:space="preserve">3.</w:t>
      </w:r>
      <w:r>
        <w:t xml:space="preserve"> </w:t>
      </w:r>
      <w:r>
        <w:t xml:space="preserve">	</w:t>
      </w:r>
      <w:r>
        <w:t xml:space="preserve">Kruschke JK.</w:t>
      </w:r>
      <w:r>
        <w:t xml:space="preserve"> </w:t>
      </w:r>
      <w:hyperlink r:id="rId213">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 Hum. Behav.</w:t>
      </w:r>
      <w:r>
        <w:t xml:space="preserve"> 2021;5:1282–1291.</w:t>
      </w:r>
      <w:r>
        <w:t xml:space="preserve"> </w:t>
      </w:r>
    </w:p>
    <w:bookmarkEnd w:id="214"/>
    <w:bookmarkStart w:id="216"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15">
        <w:r>
          <w:rPr>
            <w:rStyle w:val="Hyperlink"/>
          </w:rPr>
          <w:t xml:space="preserve">https://arxiv.org/abs/2011.01808</w:t>
        </w:r>
      </w:hyperlink>
    </w:p>
    <w:bookmarkEnd w:id="216"/>
    <w:bookmarkEnd w:id="217"/>
    <w:bookmarkEnd w:id="218"/>
    <w:bookmarkEnd w:id="219"/>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Liberation Serif" w:cs="" w:cstheme="majorBidi" w:eastAsia="" w:eastAsiaTheme="majorEastAsia" w:hAnsi="Liberation Serif"/>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Liberation Serif" w:cs="" w:cstheme="majorBidi" w:eastAsia="" w:eastAsiaTheme="majorEastAsia" w:hAnsi="Liberation Serif"/>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Charactersuser" w:type="character">
    <w:name w:val="Footnote Characters (use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user" w:type="character">
    <w:name w:val="Endnote Characters (user)"/>
    <w:qFormat/>
    <w:rPr>
      <w:vertAlign w:val="superscript"/>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erif" w:cs="Nunito ExtraLight" w:eastAsia="Nunito ExtraLight" w:hAnsi="Liberation Serif"/>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Liberation Serif" w:cs="" w:cstheme="majorBidi" w:eastAsia="" w:eastAsiaTheme="majorEastAsia" w:hAnsi="Liberation Serif"/>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20" Target="media/rId120.png" /><Relationship Type="http://schemas.openxmlformats.org/officeDocument/2006/relationships/image" Id="rId104" Target="media/rId104.png" /><Relationship Type="http://schemas.openxmlformats.org/officeDocument/2006/relationships/image" Id="rId116" Target="media/rId11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76" Target="media/rId76.png" /><Relationship Type="http://schemas.openxmlformats.org/officeDocument/2006/relationships/image" Id="rId100" Target="media/rId100.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145" Target="media/rId145.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77" Target="media/rId177.png" /><Relationship Type="http://schemas.openxmlformats.org/officeDocument/2006/relationships/image" Id="rId161" Target="media/rId161.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81" Target="media/rId181.pn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hyperlink" Id="rId215" Target="https://arxiv.org/abs/2011.01808" TargetMode="External" /><Relationship Type="http://schemas.openxmlformats.org/officeDocument/2006/relationships/hyperlink" Id="rId213" Target="https://doi.org/10.1038/s41562-021-01177-7" TargetMode="External" /><Relationship Type="http://schemas.openxmlformats.org/officeDocument/2006/relationships/hyperlink" Id="rId209" Target="https://doi.org/10.1093/ije/dyaa213" TargetMode="External" /><Relationship Type="http://schemas.openxmlformats.org/officeDocument/2006/relationships/hyperlink" Id="rId211"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15" Target="https://arxiv.org/abs/2011.01808" TargetMode="External" /><Relationship Type="http://schemas.openxmlformats.org/officeDocument/2006/relationships/hyperlink" Id="rId213" Target="https://doi.org/10.1038/s41562-021-01177-7" TargetMode="External" /><Relationship Type="http://schemas.openxmlformats.org/officeDocument/2006/relationships/hyperlink" Id="rId209" Target="https://doi.org/10.1093/ije/dyaa213" TargetMode="External" /><Relationship Type="http://schemas.openxmlformats.org/officeDocument/2006/relationships/hyperlink" Id="rId211"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LibreOffice/26.2.5.2$Linux_X86_64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2026-07-31T14:13:45Z</dcterms:created>
  <dcterms:modified xsi:type="dcterms:W3CDTF">2026-07-31T14:13:45Z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essage">
    <vt:lpwstr>False</vt:lpwstr>
  </property>
  <property fmtid="{D5CDD505-2E9C-101B-9397-08002B2CF9AE}" pid="14" name="toc-title">
    <vt:lpwstr>Table of contents</vt:lpwstr>
  </property>
</Properties>
</file>