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9" w:name="introduction"/>
    <w:p>
      <w:pPr>
        <w:pStyle w:val="Heading2"/>
      </w:pPr>
      <w:r>
        <w:t xml:space="preserve">Introduction</w:t>
      </w:r>
    </w:p>
    <w:p>
      <w:pPr>
        <w:pStyle w:val="FirstParagraph"/>
      </w:pPr>
      <w:r>
        <w:t xml:space="preserve">Intracerebral hemorrhage (ICH) remains a challenging disease, marked by its sudden onset, morbidity, and mortality.</w:t>
      </w:r>
      <w:r>
        <w:rPr>
          <w:vertAlign w:val="superscript"/>
        </w:rPr>
        <w:t xml:space="preserve">1,2</w:t>
      </w:r>
      <w:r>
        <w:t xml:space="preserve"> </w:t>
      </w:r>
      <w:r>
        <w:t xml:space="preserve">While management of ischemic stroke has advanced considerably over the last decade, the acute management of ICH remains limited to blood pressure control, coagulopathy reversal, and more perhaps surgical evacuation of hemorrhage.</w:t>
      </w:r>
      <w:r>
        <w:rPr>
          <w:vertAlign w:val="superscript"/>
        </w:rPr>
        <w:t xml:space="preserve">3,4</w:t>
      </w:r>
      <w:r>
        <w:t xml:space="preserve"> </w:t>
      </w:r>
      <w:r>
        <w:t xml:space="preserve">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5–8</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9–12</w:t>
      </w:r>
    </w:p>
    <w:p>
      <w:pPr>
        <w:pStyle w:val="BodyText"/>
      </w:pPr>
      <w:r>
        <w:t xml:space="preserve">Amidst an increasing enthusiasm for surgical management of ICH</w:t>
      </w:r>
      <w:r>
        <w:rPr>
          <w:vertAlign w:val="superscript"/>
        </w:rPr>
        <w:t xml:space="preserve">3,4,13</w:t>
      </w:r>
      <w:r>
        <w:t xml:space="preserve">, it is important to understand if hemispheric lateralization affects surgical decision making, as it seems to do for ischemic stroke. We aimed to evaluate the effect of hemispheric lateralization of ICH on likelihood of receiving aggressive surgical intervention as well as it’s association with functional outcomes.</w:t>
      </w:r>
    </w:p>
    <w:bookmarkEnd w:id="9"/>
    <w:bookmarkStart w:id="19" w:name="methods"/>
    <w:p>
      <w:pPr>
        <w:pStyle w:val="Heading2"/>
      </w:pPr>
      <w:r>
        <w:t xml:space="preserve">Methods</w:t>
      </w:r>
    </w:p>
    <w:bookmarkStart w:id="10"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14,15</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10"/>
    <w:bookmarkStart w:id="11"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11"/>
    <w:bookmarkStart w:id="16" w:name="statistical-analysis"/>
    <w:p>
      <w:pPr>
        <w:pStyle w:val="Heading3"/>
      </w:pPr>
      <w:r>
        <w:t xml:space="preserve">Statistical Analysis</w:t>
      </w:r>
    </w:p>
    <w:p>
      <w:pPr>
        <w:pStyle w:val="FirstParagraph"/>
      </w:pPr>
      <w:r>
        <w:t xml:space="preserve">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which offer a more intuitive interpretation than frequentist confidence intervals. Finally, Bayesian modeling facilitates the estimation of posterior probabilities, allowing for direct probabilistic statements about hypotheses, such as the probability that an odds ratio is greater than 1, which is often of greater clinical relevance than a p-value.</w:t>
      </w:r>
      <w:r>
        <w:rPr>
          <w:vertAlign w:val="superscript"/>
        </w:rPr>
        <w:t xml:space="preserve">16,17</w:t>
      </w:r>
    </w:p>
    <w:p>
      <w:pPr>
        <w:pStyle w:val="BodyText"/>
      </w:pPr>
      <w:r>
        <w:t xml:space="preserve">This report follows suggestions from the Bayesian Analysis Reporting Guidelines.</w:t>
      </w:r>
      <w:r>
        <w:rPr>
          <w:vertAlign w:val="superscript"/>
        </w:rPr>
        <w:t xml:space="preserve">18</w:t>
      </w:r>
      <w:r>
        <w:t xml:space="preserve"> </w:t>
      </w:r>
      <w:r>
        <w:t xml:space="preserve">For binary endpoints, hierarchal Bayesian logistic regression models were used. For ordinal endpoints, hierarchal Bayesian ordinal logisitic regression models were used. All analyses were performed in R version 4.4.2 (R Foundation for Statistical Computing, Vienna, Austria) using the</w:t>
      </w:r>
      <w:r>
        <w:t xml:space="preserve"> </w:t>
      </w:r>
      <w:r>
        <w:t xml:space="preserve">‘brms’</w:t>
      </w:r>
      <w:r>
        <w:t xml:space="preserve"> </w:t>
      </w:r>
      <w:r>
        <w:t xml:space="preserve">and</w:t>
      </w:r>
      <w:r>
        <w:t xml:space="preserve"> </w:t>
      </w:r>
      <w:r>
        <w:t xml:space="preserve">‘tidybayes’</w:t>
      </w:r>
      <w:r>
        <w:t xml:space="preserve"> </w:t>
      </w:r>
      <w:r>
        <w:t xml:space="preserve">packages.</w:t>
      </w:r>
    </w:p>
    <w:bookmarkStart w:id="12" w:name="covariate-selection"/>
    <w:p>
      <w:pPr>
        <w:pStyle w:val="Heading4"/>
      </w:pPr>
      <w:r>
        <w:t xml:space="preserve">Covariate Selection</w:t>
      </w:r>
    </w:p>
    <w:p>
      <w:pPr>
        <w:pStyle w:val="FirstParagraph"/>
      </w:pPr>
      <w:r>
        <w:t xml:space="preserve">We constructed directed acyclic graphs (DAGs) to model our causal assumptions and to appropriately select variables to minimize confounding and selection bias.</w:t>
      </w:r>
      <w:r>
        <w:rPr>
          <w:vertAlign w:val="superscript"/>
        </w:rPr>
        <w:t xml:space="preserve">19–21</w:t>
      </w:r>
      <w:r>
        <w:t xml:space="preserve"> </w:t>
      </w:r>
      <w:r>
        <w:t xml:space="preserve">Based on our specifications, we included the following covariates in our models: age, admission Glasgow coma score (GCS), ICH location (categorized as lobar, thalamic, or basal ganglia), baseline ICH volume (measured in milliliters), and presence of intraventricular hemorrhage (IVH). The DAGs used in the analyses are available in the supplementary material.</w:t>
      </w:r>
    </w:p>
    <w:bookmarkEnd w:id="12"/>
    <w:bookmarkStart w:id="13"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13"/>
    <w:bookmarkStart w:id="14" w:name="Xa47fa65c2b7f49382486b74e1c4ed3022604078"/>
    <w:p>
      <w:pPr>
        <w:pStyle w:val="Heading4"/>
      </w:pPr>
      <w:r>
        <w:t xml:space="preserve">Computation and Description of the Posterior Distribution</w:t>
      </w:r>
    </w:p>
    <w:p>
      <w:pPr>
        <w:pStyle w:val="FirstParagraph"/>
      </w:pPr>
      <w:r>
        <w:t xml:space="preserve">We report the following metrics for the effect of hemispheric laterality on the primary and secondary outcomes: 1) median odds ratio (OR) of the posterior distribution with 95% credible interval; 2) probability of any difference (P[OR] &gt; 1); 3) probability of a substantial difference (P[OR] &gt; 1.2) as defined by the study authors; 4) percent of the posterior distribution outside of the region of practical equivalence as defined by the study authors (ROPE; 0.95 &gt; P[OR] &gt; 1.05). A description of the rationale for these thresholds is available in the supplementary material.</w:t>
      </w:r>
    </w:p>
    <w:bookmarkEnd w:id="14"/>
    <w:bookmarkStart w:id="15" w:name="Xb6b655a891224ddee9981b292c43eac49eeddc4"/>
    <w:p>
      <w:pPr>
        <w:pStyle w:val="Heading4"/>
      </w:pPr>
      <w:r>
        <w:t xml:space="preserve">Missing Data Treatment and Sensitivity Analyses</w:t>
      </w:r>
    </w:p>
    <w:p>
      <w:pPr>
        <w:pStyle w:val="FirstParagraph"/>
      </w:pPr>
      <w:r>
        <w:t xml:space="preserve">For our primary analysis, we used a complete case approach. To assess the robustness of our findings, we conducted a sensitivity analysis using multiple imputation with chained equations (MICE) to address missing data for all covariates.</w:t>
      </w:r>
    </w:p>
    <w:p>
      <w:pPr>
        <w:pStyle w:val="BodyText"/>
      </w:pPr>
      <w:r>
        <w:t xml:space="preserve">In addition to the missing data analysis, we analyzed our models using the four sets of prior distributions described above, which allowed us to examine the influence of prior choices on the posterior distributions. Further details on the methods and results of these sensitivity analyses are presented in the Supplementary Appendix.</w:t>
      </w:r>
    </w:p>
    <w:bookmarkEnd w:id="15"/>
    <w:bookmarkEnd w:id="16"/>
    <w:bookmarkStart w:id="18"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17">
        <w:r>
          <w:rPr>
            <w:rStyle w:val="Hyperlink"/>
          </w:rPr>
          <w:t xml:space="preserve">https://github.com/nikhilpatelmd/ich-laterality</w:t>
        </w:r>
      </w:hyperlink>
      <w:r>
        <w:t xml:space="preserve">.</w:t>
      </w:r>
    </w:p>
    <w:bookmarkEnd w:id="18"/>
    <w:bookmarkEnd w:id="19"/>
    <w:bookmarkStart w:id="24" w:name="results"/>
    <w:p>
      <w:pPr>
        <w:pStyle w:val="Heading2"/>
      </w:pPr>
      <w:r>
        <w:t xml:space="preserve">Results</w:t>
      </w:r>
    </w:p>
    <w:bookmarkStart w:id="20"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bookmarkEnd w:id="20"/>
    <w:bookmarkStart w:id="21"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There were 86 (5.0%) with left hemispheric ICH who underwent neurosurgical intervention as compared to 144 (8.2%) with right hemispheric ICH (aOR 1.65, 95% credible interval 1.28 - 2.14). The posterior probability that the aOR was greater than 1 was &gt; 99.9%. The posterior probability of the aOR being greater than 1.2, indicating a substantial difference, was 99.3%. A very small portion of the posterior probability was inside of the ROPE (&lt; 0.1%).</w:t>
      </w:r>
    </w:p>
    <w:p>
      <w:pPr>
        <w:pStyle w:val="BodyText"/>
      </w:pPr>
      <w:r>
        <w:t xml:space="preserve">The results using different pre-defined priors were consistent with the findings in the main model (Figure 1). Sensitivity analyses yielded similar results (Supplemental Appendix).</w:t>
      </w:r>
    </w:p>
    <w:bookmarkEnd w:id="21"/>
    <w:bookmarkStart w:id="22" w:name="X35a142ea301be59e62227349f8c14b571c0f47d"/>
    <w:p>
      <w:pPr>
        <w:pStyle w:val="Heading3"/>
      </w:pPr>
      <w:r>
        <w:t xml:space="preserve">Hemispheric laterality and secondary outcomes</w:t>
      </w:r>
    </w:p>
    <w:p>
      <w:pPr>
        <w:pStyle w:val="FirstParagraph"/>
      </w:pPr>
      <w:r>
        <w:t xml:space="preserve">A total of 236 (13.7%) with left hemispheric ICH had an external ventricular drain (EVD) placed as compared to 272 (15.5%) with right hemispheric ICH (aOR 1.22, 95% credible interval 1.04 - 1.44). The posterior probability that the aOR was greater than 1 was 99.2%. The posterior probability that the aOR was greater than 1.2 was 58.2%. About 3.3% of the posterior distribution was inside of the ROPE.</w:t>
      </w:r>
    </w:p>
    <w:p>
      <w:pPr>
        <w:pStyle w:val="BodyText"/>
      </w:pPr>
      <w:r>
        <w:t xml:space="preserve">Other secondary outcomes showed smaller and less certain associations with hemispheric laterality.</w:t>
      </w:r>
    </w:p>
    <w:bookmarkEnd w:id="22"/>
    <w:bookmarkStart w:id="23" w:name="X497d2c87b36dfef7f34a746e297a0b417356437"/>
    <w:p>
      <w:pPr>
        <w:pStyle w:val="Heading3"/>
      </w:pPr>
      <w:r>
        <w:t xml:space="preserve">Hemispheric laterality and functional outcomes</w:t>
      </w:r>
    </w:p>
    <w:p>
      <w:pPr>
        <w:pStyle w:val="FirstParagraph"/>
      </w:pPr>
      <w:r>
        <w:t xml:space="preserve">The associations between mRS at 90 days and functional outcomes are described in Table 3. The aOR for a worse mRS score at 90 days associated with right hemispheric ICH compared to left hemispheric ICH was 0.99 (95% credible interval 0.98 - 1.00). The posterior probability that the aOR was &gt; 1 was 0.7%. The posterior probability that the aOR was &gt; 1.2 was &lt; 0.1%. About &gt; 99.9% of the posterior distribution was inside of the ROPE.</w:t>
      </w:r>
    </w:p>
    <w:p>
      <w:pPr>
        <w:pStyle w:val="BodyText"/>
      </w:pPr>
      <w:r>
        <w:t xml:space="preserve">When examining HRQOL, the largest differences between groups was in the Moblity and Self-Care domains. The aOR for a worse EuroQOL - Moblity score associated with right hemispheric ICH compared to left hemispheric ICH was 1.03 (95% credible interval 1.01 - 1.05) with similar results for the Self-Care domain. The posterior probability that the aOR was &gt; 1 was &gt; 99.9% for both domains, with the posterior probability that the aOR was &gt; 1.2 being &lt; 0.1%.</w:t>
      </w:r>
    </w:p>
    <w:p>
      <w:pPr>
        <w:pStyle w:val="BodyText"/>
      </w:pPr>
      <w:r>
        <w:t xml:space="preserve">Results from using different priors and sensitivity analyses are presented in the Supplementary Appendix and did not significantly alter the results.</w:t>
      </w:r>
    </w:p>
    <w:bookmarkEnd w:id="23"/>
    <w:bookmarkEnd w:id="24"/>
    <w:bookmarkStart w:id="25" w:name="discussion"/>
    <w:p>
      <w:pPr>
        <w:pStyle w:val="Heading2"/>
      </w:pPr>
      <w:r>
        <w:t xml:space="preserve">Discussion</w:t>
      </w:r>
    </w:p>
    <w:p>
      <w:pPr>
        <w:pStyle w:val="FirstParagraph"/>
      </w:pPr>
      <w:r>
        <w:t xml:space="preserve">In this pooled analysis of 3477 patients with ICH, we found evidence that those with right hemispheric ICH were more likely to receive neurosurgical intervention than those with left hemispheric ICH. Specifically, patients with right hemispheric ICH had 1.65 times the odds of receiving a neurosurgical intervention and 1.22 times the odds of receiving an EVD. This was consistent when considering various ICH locations and within each individual study. Despite receiving less aggressive surgical care, patients with left hemispheric ICH had better 90-day functional outcomes, a finding robust to various definitions including the mRS and HRQoL domains.</w:t>
      </w:r>
    </w:p>
    <w:p>
      <w:pPr>
        <w:pStyle w:val="BodyText"/>
      </w:pPr>
      <w:r>
        <w:t xml:space="preserve">This finding is particularly important in light of recent evidence suggesting that surgical interventions, such as hematoma evacuation and decompressive craniectomy, may improve outcomes in some ICH patients</w:t>
      </w:r>
      <w:r>
        <w:rPr>
          <w:vertAlign w:val="superscript"/>
        </w:rPr>
        <w:t xml:space="preserve">3,13</w:t>
      </w:r>
      <w:r>
        <w:t xml:space="preserve">. If there is a bias against offering these interventions to patients with left hemispheric ICH, it could lead to worse outcomes for this group. This highlights the need to address potential biases in treatment decisions and ensure equitable access to life-saving and disability-improving interventions. While treatment bias based on hemispheric laterality is not well-characterized in ICH, there are several studies that have found that clinicians, patients, and families place particular importance in language deficits and thus are less optimistic about dominant-hemispheric injuries.</w:t>
      </w:r>
      <w:r>
        <w:rPr>
          <w:vertAlign w:val="superscript"/>
        </w:rPr>
        <w:t xml:space="preserve">22–24</w:t>
      </w:r>
      <w:r>
        <w:t xml:space="preserve"> </w:t>
      </w:r>
      <w:r>
        <w:t xml:space="preserve">This attitude potentially may not be warranted if patients with left hemispheric injury report equivalent or improved quality of life outcomes compared to those with right hemispheric injury.</w:t>
      </w:r>
    </w:p>
    <w:p>
      <w:pPr>
        <w:pStyle w:val="BodyText"/>
      </w:pPr>
      <w:r>
        <w:t xml:space="preserve">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r>
        <w:rPr>
          <w:vertAlign w:val="superscript"/>
        </w:rPr>
        <w:t xml:space="preserve">12</w:t>
      </w:r>
      <w:r>
        <w:t xml:space="preserve"> </w:t>
      </w:r>
      <w:r>
        <w:t xml:space="preserve">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r>
        <w:rPr>
          <w:vertAlign w:val="superscript"/>
        </w:rPr>
        <w:t xml:space="preserve">25,26</w:t>
      </w:r>
      <w:r>
        <w:t xml:space="preserve"> </w:t>
      </w:r>
      <w:r>
        <w:t xml:space="preserve">This may be particularly challenging to study in ischemic stroke due to how the NIHSS is used to guide treatment decisions and is also biased toward higher scores in patients with left hemispheric injury.</w:t>
      </w:r>
      <w:r>
        <w:rPr>
          <w:vertAlign w:val="superscript"/>
        </w:rPr>
        <w:t xml:space="preserve">27</w:t>
      </w:r>
    </w:p>
    <w:p>
      <w:pPr>
        <w:pStyle w:val="BodyText"/>
      </w:pPr>
      <w:r>
        <w:t xml:space="preserve">Our study has some limitations. The absolute number of patients undergoing surgery was relatively low, making it unclear how these findings might translate to studies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With the recent publication of several large RCTs demonstrating the benefit of hematoma evacuation and decompressive craniectomy in ICH</w:t>
      </w:r>
      <w:r>
        <w:rPr>
          <w:vertAlign w:val="superscript"/>
        </w:rPr>
        <w:t xml:space="preserve">3,13</w:t>
      </w:r>
      <w:r>
        <w:t xml:space="preserve">, it will be imperative to confirm our findings with additional cohorts. Future research should focus on prospectively surveying clinicians, patients, and families with a variety of cultural and socioeconomic backgrounds as well as in a range of practice settings to further investigate the potential spectrum of biases in treatment decisions and their impact on outcomes.</w:t>
      </w:r>
    </w:p>
    <w:bookmarkEnd w:id="25"/>
    <w:bookmarkStart w:id="26" w:name="conclusions"/>
    <w:p>
      <w:pPr>
        <w:pStyle w:val="Heading2"/>
      </w:pPr>
      <w:r>
        <w:t xml:space="preserve">Conclusions</w:t>
      </w:r>
    </w:p>
    <w:p>
      <w:pPr>
        <w:pStyle w:val="FirstParagraph"/>
      </w:pPr>
      <w:r>
        <w:t xml:space="preserve">We found that patients with left hemispheric ICH were less likely to receive aggressive care in the form of neurosurgical intervention and external ventricular drain placement as compared to those with right hemispheric ICH. Despite this, patients with left hemispheric ICH were more likely to have better functional outcomes at 90 days. These findings highlight the potential influence of hemispheric laterality on treatment decisions and outcomes in ICH, and suggest that further research is needed to understand and address potential biases in treatment allocation.</w:t>
      </w:r>
    </w:p>
    <w:p>
      <w:r>
        <w:br w:type="page"/>
      </w:r>
    </w:p>
    <w:bookmarkEnd w:id="26"/>
    <w:bookmarkStart w:id="80" w:name="references"/>
    <w:p>
      <w:pPr>
        <w:pStyle w:val="Heading2"/>
      </w:pPr>
      <w:r>
        <w:t xml:space="preserve">References</w:t>
      </w:r>
    </w:p>
    <w:bookmarkStart w:id="79" w:name="refs"/>
    <w:bookmarkStart w:id="28" w:name="ref-hemphillICHScoreSimple2001"/>
    <w:p>
      <w:pPr>
        <w:pStyle w:val="Bibliography"/>
      </w:pPr>
      <w:r>
        <w:t xml:space="preserve">1.</w:t>
      </w:r>
      <w:r>
        <w:t xml:space="preserve"> </w:t>
      </w:r>
      <w:r>
        <w:t xml:space="preserve">	</w:t>
      </w:r>
      <w:r>
        <w:t xml:space="preserve">Hemphill JC, Bonovich DC, Besmertis L, Manley GT, Johnston SC.</w:t>
      </w:r>
      <w:r>
        <w:t xml:space="preserve"> </w:t>
      </w:r>
      <w:hyperlink r:id="rId27">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28"/>
    <w:bookmarkStart w:id="30" w:name="Xb1ab0250ddbe95fd4f2ad9af76384f9c74d3ea6"/>
    <w:p>
      <w:pPr>
        <w:pStyle w:val="Bibliography"/>
      </w:pPr>
      <w:r>
        <w:t xml:space="preserve">2.</w:t>
      </w:r>
      <w:r>
        <w:t xml:space="preserve"> </w:t>
      </w:r>
      <w:r>
        <w:t xml:space="preserve">	</w:t>
      </w:r>
      <w:r>
        <w:t xml:space="preserve">Sheth KN.</w:t>
      </w:r>
      <w:r>
        <w:t xml:space="preserve"> </w:t>
      </w:r>
      <w:hyperlink r:id="rId29">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30"/>
    <w:bookmarkStart w:id="32" w:name="ref-pradillaTrialEarlyMinimally2024"/>
    <w:p>
      <w:pPr>
        <w:pStyle w:val="Bibliography"/>
      </w:pPr>
      <w:r>
        <w:t xml:space="preserve">3.</w:t>
      </w:r>
      <w:r>
        <w:t xml:space="preserve"> </w:t>
      </w:r>
      <w:r>
        <w:t xml:space="preserve">	</w:t>
      </w:r>
      <w:r>
        <w:t xml:space="preserve">Pradilla G, Ratcliff JJ, Hall AJ, Saville BR, Allen JW, Paulon G, McGlothlin A, Lewis RJ, Fitzgerald M, Caveney AF, et al.</w:t>
      </w:r>
      <w:r>
        <w:t xml:space="preserve"> </w:t>
      </w:r>
      <w:hyperlink r:id="rId31">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32"/>
    <w:bookmarkStart w:id="34" w:name="ref-bakoMinimallyInvasiveSurgery2023"/>
    <w:p>
      <w:pPr>
        <w:pStyle w:val="Bibliography"/>
      </w:pPr>
      <w:r>
        <w:t xml:space="preserve">4.</w:t>
      </w:r>
      <w:r>
        <w:t xml:space="preserve"> </w:t>
      </w:r>
      <w:r>
        <w:t xml:space="preserve">	</w:t>
      </w:r>
      <w:r>
        <w:t xml:space="preserve">Bako AT, Potter T, Pan AP, Tannous J, Britz G, Ziai WC, Awad I, Hanley D, Vahidy FS.</w:t>
      </w:r>
      <w:r>
        <w:t xml:space="preserve"> </w:t>
      </w:r>
      <w:hyperlink r:id="rId33">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34"/>
    <w:bookmarkStart w:id="36" w:name="ref-dileggeImpactLesionSide2005"/>
    <w:p>
      <w:pPr>
        <w:pStyle w:val="Bibliography"/>
      </w:pPr>
      <w:r>
        <w:t xml:space="preserve">5.</w:t>
      </w:r>
      <w:r>
        <w:t xml:space="preserve"> </w:t>
      </w:r>
      <w:r>
        <w:t xml:space="preserve">	</w:t>
      </w:r>
      <w:r>
        <w:t xml:space="preserve">Di Legge S, Fang J, Saposnik G, Hachinski V.</w:t>
      </w:r>
      <w:r>
        <w:t xml:space="preserve"> </w:t>
      </w:r>
      <w:hyperlink r:id="rId35">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6"/>
    <w:bookmarkStart w:id="38" w:name="ref-foerchDifferenceRecognitionRight2005"/>
    <w:p>
      <w:pPr>
        <w:pStyle w:val="Bibliography"/>
      </w:pPr>
      <w:r>
        <w:t xml:space="preserve">6.</w:t>
      </w:r>
      <w:r>
        <w:t xml:space="preserve"> </w:t>
      </w:r>
      <w:r>
        <w:t xml:space="preserve">	</w:t>
      </w:r>
      <w:r>
        <w:t xml:space="preserve">Foerch C, Misselwitz B, Sitzer M, Berger K, Steinmetz H, Neumann-Haefelin T.</w:t>
      </w:r>
      <w:r>
        <w:t xml:space="preserve"> </w:t>
      </w:r>
      <w:hyperlink r:id="rId37">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38"/>
    <w:bookmarkStart w:id="40" w:name="ref-portegiesLeftsidedStrokesAre2015"/>
    <w:p>
      <w:pPr>
        <w:pStyle w:val="Bibliography"/>
      </w:pPr>
      <w:r>
        <w:t xml:space="preserve">7.</w:t>
      </w:r>
      <w:r>
        <w:t xml:space="preserve"> </w:t>
      </w:r>
      <w:r>
        <w:t xml:space="preserve">	</w:t>
      </w:r>
      <w:r>
        <w:t xml:space="preserve">Portegies MLP, Selwaness M, Hofman A, Koudstaal PJ, Vernooij MW, Ikram MA.</w:t>
      </w:r>
      <w:r>
        <w:t xml:space="preserve"> </w:t>
      </w:r>
      <w:hyperlink r:id="rId39">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40"/>
    <w:bookmarkStart w:id="42" w:name="ref-liStrokeLateralizationLarge2021"/>
    <w:p>
      <w:pPr>
        <w:pStyle w:val="Bibliography"/>
      </w:pPr>
      <w:r>
        <w:t xml:space="preserve">8.</w:t>
      </w:r>
      <w:r>
        <w:t xml:space="preserve"> </w:t>
      </w:r>
      <w:r>
        <w:t xml:space="preserve">	</w:t>
      </w:r>
      <w:r>
        <w:t xml:space="preserve">Li J, Zhang P, Liu Y, Chen W, Yi X, Wang C.</w:t>
      </w:r>
      <w:r>
        <w:t xml:space="preserve"> </w:t>
      </w:r>
      <w:hyperlink r:id="rId41">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2"/>
    <w:bookmarkStart w:id="44" w:name="X838bc231b1872fcffc9183d1e0517a825b33557"/>
    <w:p>
      <w:pPr>
        <w:pStyle w:val="Bibliography"/>
      </w:pPr>
      <w:r>
        <w:t xml:space="preserve">9.</w:t>
      </w:r>
      <w:r>
        <w:t xml:space="preserve"> </w:t>
      </w:r>
      <w:r>
        <w:t xml:space="preserve">	</w:t>
      </w:r>
      <w:r>
        <w:t xml:space="preserve">Deb-Chatterji M, Flottmann F, Meyer L, Brekenfeld C, Fiehler J, Gerloff C, Thomalla G, the GSR-ET-Investigators, Gerloff C, Fiehler J, et al.</w:t>
      </w:r>
      <w:r>
        <w:t xml:space="preserve"> </w:t>
      </w:r>
      <w:hyperlink r:id="rId43">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44"/>
    <w:bookmarkStart w:id="46" w:name="ref-leggeNeglectingDifference2006"/>
    <w:p>
      <w:pPr>
        <w:pStyle w:val="Bibliography"/>
      </w:pPr>
      <w:r>
        <w:t xml:space="preserve">10.</w:t>
      </w:r>
      <w:r>
        <w:t xml:space="preserve"> </w:t>
      </w:r>
      <w:r>
        <w:t xml:space="preserve">	</w:t>
      </w:r>
      <w:r>
        <w:t xml:space="preserve">Legge SD, Saposnik G, Nilanont Y, Hachinski V.</w:t>
      </w:r>
      <w:r>
        <w:t xml:space="preserve"> </w:t>
      </w:r>
      <w:hyperlink r:id="rId45">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6"/>
    <w:bookmarkStart w:id="48" w:name="X3c0b23a0f7bdee15362bbd61a2add3aa865ea88"/>
    <w:p>
      <w:pPr>
        <w:pStyle w:val="Bibliography"/>
      </w:pPr>
      <w:r>
        <w:t xml:space="preserve">11.</w:t>
      </w:r>
      <w:r>
        <w:t xml:space="preserve"> </w:t>
      </w:r>
      <w:r>
        <w:t xml:space="preserve">	</w:t>
      </w:r>
      <w:r>
        <w:t xml:space="preserve">Beuscher VD, Kuramatsu JB, Gerner ST, Köhn J, Lücking H, Kloska SP, Huttner HB.</w:t>
      </w:r>
      <w:r>
        <w:t xml:space="preserve"> </w:t>
      </w:r>
      <w:hyperlink r:id="rId47">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48"/>
    <w:bookmarkStart w:id="50" w:name="ref-satoHigherMortalityPatients2015"/>
    <w:p>
      <w:pPr>
        <w:pStyle w:val="Bibliography"/>
      </w:pPr>
      <w:r>
        <w:t xml:space="preserve">12.</w:t>
      </w:r>
      <w:r>
        <w:t xml:space="preserve"> </w:t>
      </w:r>
      <w:r>
        <w:t xml:space="preserve">	</w:t>
      </w:r>
      <w:r>
        <w:t xml:space="preserve">Sato S, Heeley E, Arima H, Delcourt C, Hirakawa Y, Pamidimukkala V, Li Z, Tao Q, Xu Y, Hennerici MG, et al.</w:t>
      </w:r>
      <w:r>
        <w:t xml:space="preserve"> </w:t>
      </w:r>
      <w:hyperlink r:id="rId49">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50"/>
    <w:bookmarkStart w:id="52" w:name="ref-beckDecompressiveCraniectomyBest2024"/>
    <w:p>
      <w:pPr>
        <w:pStyle w:val="Bibliography"/>
      </w:pPr>
      <w:r>
        <w:t xml:space="preserve">13.</w:t>
      </w:r>
      <w:r>
        <w:t xml:space="preserve"> </w:t>
      </w:r>
      <w:r>
        <w:t xml:space="preserve">	</w:t>
      </w:r>
      <w:r>
        <w:t xml:space="preserve">Beck J, Fung C, Strbian D, Bütikofer L, Z’Graggen WJ, Lang MF, Beyeler S, Gralla J, Ringel F, Schaller K, et al.</w:t>
      </w:r>
      <w:r>
        <w:t xml:space="preserve"> </w:t>
      </w:r>
      <w:hyperlink r:id="rId51">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52"/>
    <w:bookmarkStart w:id="54" w:name="Xe5698a0135fcc3ba325d1733a6b0d2457d0d2c6"/>
    <w:p>
      <w:pPr>
        <w:pStyle w:val="Bibliography"/>
      </w:pPr>
      <w:r>
        <w:t xml:space="preserve">14.</w:t>
      </w:r>
      <w:r>
        <w:t xml:space="preserve"> </w:t>
      </w:r>
      <w:r>
        <w:t xml:space="preserve">	</w:t>
      </w:r>
      <w:r>
        <w:t xml:space="preserve">Qureshi AI, Palesch YY, Barsan WG, Hanley DF, Hsu CY, Martin RL, Moy CS, Silbergleit R, Steiner T, Suarez JI, et al.</w:t>
      </w:r>
      <w:r>
        <w:t xml:space="preserve"> </w:t>
      </w:r>
      <w:hyperlink r:id="rId53">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54"/>
    <w:bookmarkStart w:id="56" w:name="ref-wooEthnicRacialVariations2013"/>
    <w:p>
      <w:pPr>
        <w:pStyle w:val="Bibliography"/>
      </w:pPr>
      <w:r>
        <w:t xml:space="preserve">15.</w:t>
      </w:r>
      <w:r>
        <w:t xml:space="preserve"> </w:t>
      </w:r>
      <w:r>
        <w:t xml:space="preserve">	</w:t>
      </w:r>
      <w:r>
        <w:t xml:space="preserve">Woo D, Rosand J, Kidwell C, McCauley JL, Osborne J, Brown MW, West SE, Rademacher EW, Waddy S, Roberts JN, et al.</w:t>
      </w:r>
      <w:r>
        <w:t xml:space="preserve"> </w:t>
      </w:r>
      <w:hyperlink r:id="rId55">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56"/>
    <w:bookmarkStart w:id="57" w:name="ref-dogucuBayesRulesIntroduction"/>
    <w:p>
      <w:pPr>
        <w:pStyle w:val="Bibliography"/>
      </w:pPr>
      <w:r>
        <w:t xml:space="preserve">16.</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57"/>
    <w:bookmarkStart w:id="58" w:name="X7e5fcb01483c46ceec3804400aa01747d15580c"/>
    <w:p>
      <w:pPr>
        <w:pStyle w:val="Bibliography"/>
      </w:pPr>
      <w:r>
        <w:t xml:space="preserve">17.</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58"/>
    <w:bookmarkStart w:id="60" w:name="Xfbc06ab4e8a143dd15dec8dfd06cc82cc01ab3c"/>
    <w:p>
      <w:pPr>
        <w:pStyle w:val="Bibliography"/>
      </w:pPr>
      <w:r>
        <w:t xml:space="preserve">18.</w:t>
      </w:r>
      <w:r>
        <w:t xml:space="preserve"> </w:t>
      </w:r>
      <w:r>
        <w:t xml:space="preserve">	</w:t>
      </w:r>
      <w:r>
        <w:t xml:space="preserve">Kruschke JK.</w:t>
      </w:r>
      <w:r>
        <w:t xml:space="preserve"> </w:t>
      </w:r>
      <w:hyperlink r:id="rId59">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60"/>
    <w:bookmarkStart w:id="62" w:name="Xadd1365c52322e3ad3aed151084109b8ced3dcd"/>
    <w:p>
      <w:pPr>
        <w:pStyle w:val="Bibliography"/>
      </w:pPr>
      <w:r>
        <w:t xml:space="preserve">19.</w:t>
      </w:r>
      <w:r>
        <w:t xml:space="preserve"> </w:t>
      </w:r>
      <w:r>
        <w:t xml:space="preserve">	</w:t>
      </w:r>
      <w:r>
        <w:t xml:space="preserve">Debertin J, Jurado Vélez JA, Corlin L, Hidalgo B, Murray EJ.</w:t>
      </w:r>
      <w:r>
        <w:t xml:space="preserve"> </w:t>
      </w:r>
      <w:hyperlink r:id="rId61">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62"/>
    <w:bookmarkStart w:id="64" w:name="ref-tennantUseDirectedAcyclic2021"/>
    <w:p>
      <w:pPr>
        <w:pStyle w:val="Bibliography"/>
      </w:pPr>
      <w:r>
        <w:t xml:space="preserve">20.</w:t>
      </w:r>
      <w:r>
        <w:t xml:space="preserve"> </w:t>
      </w:r>
      <w:r>
        <w:t xml:space="preserve">	</w:t>
      </w:r>
      <w:r>
        <w:t xml:space="preserve">Tennant PWG, Murray EJ, Arnold KF, Berrie L, Fox MP, Gadd SC, Harrison WJ, Keeble C, Ranker LR, Textor J, et al.</w:t>
      </w:r>
      <w:r>
        <w:t xml:space="preserve"> </w:t>
      </w:r>
      <w:hyperlink r:id="rId63">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64"/>
    <w:bookmarkStart w:id="66" w:name="ref-hernanSpecifyingTargetTrial2016"/>
    <w:p>
      <w:pPr>
        <w:pStyle w:val="Bibliography"/>
      </w:pPr>
      <w:r>
        <w:t xml:space="preserve">21.</w:t>
      </w:r>
      <w:r>
        <w:t xml:space="preserve"> </w:t>
      </w:r>
      <w:r>
        <w:t xml:space="preserve">	</w:t>
      </w:r>
      <w:r>
        <w:t xml:space="preserve">Hernán MA, Sauer BC, Hernández-Díaz S, Platt R, Shrier I.</w:t>
      </w:r>
      <w:r>
        <w:t xml:space="preserve"> </w:t>
      </w:r>
      <w:hyperlink r:id="rId65">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66"/>
    <w:bookmarkStart w:id="68" w:name="X7a4c185c12dbffdfd1dae8f81a04f8589333b44"/>
    <w:p>
      <w:pPr>
        <w:pStyle w:val="Bibliography"/>
      </w:pPr>
      <w:r>
        <w:t xml:space="preserve">22.</w:t>
      </w:r>
      <w:r>
        <w:t xml:space="preserve"> </w:t>
      </w:r>
      <w:r>
        <w:t xml:space="preserve">	</w:t>
      </w:r>
      <w:r>
        <w:t xml:space="preserve">Neugebauer H, Creutzfeldt CJ, Hemphill JC, Heuschmann PU, Jüttler E.</w:t>
      </w:r>
      <w:r>
        <w:t xml:space="preserve"> </w:t>
      </w:r>
      <w:hyperlink r:id="rId67">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68"/>
    <w:bookmarkStart w:id="70" w:name="X891c4e92ab559843651bf648920cce7507bc2b7"/>
    <w:p>
      <w:pPr>
        <w:pStyle w:val="Bibliography"/>
      </w:pPr>
      <w:r>
        <w:t xml:space="preserve">23.</w:t>
      </w:r>
      <w:r>
        <w:t xml:space="preserve"> </w:t>
      </w:r>
      <w:r>
        <w:t xml:space="preserve">	</w:t>
      </w:r>
      <w:r>
        <w:t xml:space="preserve">Neugebauer H, Schnabl M, Lulé D, Heuschmann PU, Jüttler E, IGNITE Study Group (Initiative of German NeuroIntensive Trial Engagement).</w:t>
      </w:r>
      <w:r>
        <w:t xml:space="preserve"> </w:t>
      </w:r>
      <w:hyperlink r:id="rId69">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70"/>
    <w:bookmarkStart w:id="72" w:name="X43fe660b2331ec7445277f5239a44c6686e4cba"/>
    <w:p>
      <w:pPr>
        <w:pStyle w:val="Bibliography"/>
      </w:pPr>
      <w:r>
        <w:t xml:space="preserve">24.</w:t>
      </w:r>
      <w:r>
        <w:t xml:space="preserve"> </w:t>
      </w:r>
      <w:r>
        <w:t xml:space="preserve">	</w:t>
      </w:r>
      <w:r>
        <w:t xml:space="preserve">Neugebauer H, Malakou F, Uttner I, Köpke M, Jüttler E, IGNITE Study Group (Initiative of German NeuroIntensive Trial Engagement).</w:t>
      </w:r>
      <w:r>
        <w:t xml:space="preserve"> </w:t>
      </w:r>
      <w:hyperlink r:id="rId71">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72"/>
    <w:bookmarkStart w:id="74" w:name="Xedc2e0f0a31863d3317a2038cd4180ef4585a94"/>
    <w:p>
      <w:pPr>
        <w:pStyle w:val="Bibliography"/>
      </w:pPr>
      <w:r>
        <w:t xml:space="preserve">25.</w:t>
      </w:r>
      <w:r>
        <w:t xml:space="preserve"> </w:t>
      </w:r>
      <w:r>
        <w:t xml:space="preserve">	</w:t>
      </w:r>
      <w:r>
        <w:t xml:space="preserve">Fink JN, Frampton CM, Lyden P, Lees KR, Virtual International Stroke Trials Archive Investigators.</w:t>
      </w:r>
      <w:r>
        <w:t xml:space="preserve"> </w:t>
      </w:r>
      <w:hyperlink r:id="rId73">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2008;39:3335–3340.</w:t>
      </w:r>
      <w:r>
        <w:t xml:space="preserve"> </w:t>
      </w:r>
    </w:p>
    <w:bookmarkEnd w:id="74"/>
    <w:bookmarkStart w:id="76" w:name="ref-almekhlafiStrokeLateralityDid2019"/>
    <w:p>
      <w:pPr>
        <w:pStyle w:val="Bibliography"/>
      </w:pPr>
      <w:r>
        <w:t xml:space="preserve">26.</w:t>
      </w:r>
      <w:r>
        <w:t xml:space="preserve"> </w:t>
      </w:r>
      <w:r>
        <w:t xml:space="preserve">	</w:t>
      </w:r>
      <w:r>
        <w:t xml:space="preserve">Almekhlafi MA, Hill MD, Roos YM, Campbell BCV, Muir KW, Demchuk AM, Bracard S, Gomis M, Guillemin F, Jovin TG, et al.</w:t>
      </w:r>
      <w:r>
        <w:t xml:space="preserve"> </w:t>
      </w:r>
      <w:hyperlink r:id="rId75">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2019;50:2118–2124.</w:t>
      </w:r>
      <w:r>
        <w:t xml:space="preserve"> </w:t>
      </w:r>
    </w:p>
    <w:bookmarkEnd w:id="76"/>
    <w:bookmarkStart w:id="78" w:name="X3c0ca5277cb27ba7098a1b20322a338d87eb9a8"/>
    <w:p>
      <w:pPr>
        <w:pStyle w:val="Bibliography"/>
      </w:pPr>
      <w:r>
        <w:t xml:space="preserve">27.</w:t>
      </w:r>
      <w:r>
        <w:t xml:space="preserve"> </w:t>
      </w:r>
      <w:r>
        <w:t xml:space="preserve">	</w:t>
      </w:r>
      <w:r>
        <w:t xml:space="preserve">Fink JN, Selim MH, Kumar S, Silver B, Linfante I, Caplan LR, Schlaug G.</w:t>
      </w:r>
      <w:r>
        <w:t xml:space="preserve"> </w:t>
      </w:r>
      <w:hyperlink r:id="rId77">
        <w:r>
          <w:rPr>
            <w:rStyle w:val="Hyperlink"/>
          </w:rPr>
          <w:t xml:space="preserve">Is the</w:t>
        </w:r>
        <w:r>
          <w:rPr>
            <w:rStyle w:val="Hyperlink"/>
          </w:rPr>
          <w:t xml:space="preserve"> </w:t>
        </w:r>
        <w:r>
          <w:rPr>
            <w:rStyle w:val="Hyperlink"/>
          </w:rPr>
          <w:t xml:space="preserve">Association</w:t>
        </w:r>
        <w:r>
          <w:rPr>
            <w:rStyle w:val="Hyperlink"/>
          </w:rPr>
          <w:t xml:space="preserve"> </w:t>
        </w:r>
        <w:r>
          <w:rPr>
            <w:rStyle w:val="Hyperlink"/>
          </w:rPr>
          <w:t xml:space="preserve">of</w:t>
        </w:r>
        <w:r>
          <w:rPr>
            <w:rStyle w:val="Hyperlink"/>
          </w:rPr>
          <w:t xml:space="preserve"> </w:t>
        </w:r>
        <w:r>
          <w:rPr>
            <w:rStyle w:val="Hyperlink"/>
          </w:rPr>
          <w:t xml:space="preserve">National Institutes</w:t>
        </w:r>
        <w:r>
          <w:rPr>
            <w:rStyle w:val="Hyperlink"/>
          </w:rPr>
          <w:t xml:space="preserve"> </w:t>
        </w:r>
        <w:r>
          <w:rPr>
            <w:rStyle w:val="Hyperlink"/>
          </w:rPr>
          <w:t xml:space="preserve">of</w:t>
        </w:r>
        <w:r>
          <w:rPr>
            <w:rStyle w:val="Hyperlink"/>
          </w:rPr>
          <w:t xml:space="preserve"> </w:t>
        </w:r>
        <w:r>
          <w:rPr>
            <w:rStyle w:val="Hyperlink"/>
          </w:rPr>
          <w:t xml:space="preserve">Health Stroke Scale Scores</w:t>
        </w:r>
        <w:r>
          <w:rPr>
            <w:rStyle w:val="Hyperlink"/>
          </w:rPr>
          <w:t xml:space="preserve"> </w:t>
        </w:r>
        <w:r>
          <w:rPr>
            <w:rStyle w:val="Hyperlink"/>
          </w:rPr>
          <w:t xml:space="preserve">and</w:t>
        </w:r>
        <w:r>
          <w:rPr>
            <w:rStyle w:val="Hyperlink"/>
          </w:rPr>
          <w:t xml:space="preserve"> </w:t>
        </w:r>
        <w:r>
          <w:rPr>
            <w:rStyle w:val="Hyperlink"/>
          </w:rPr>
          <w:t xml:space="preserve">Acute Magnetic Resonance Imaging Stroke Volume Equal</w:t>
        </w:r>
        <w:r>
          <w:rPr>
            <w:rStyle w:val="Hyperlink"/>
          </w:rPr>
          <w:t xml:space="preserve"> </w:t>
        </w:r>
        <w:r>
          <w:rPr>
            <w:rStyle w:val="Hyperlink"/>
          </w:rPr>
          <w:t xml:space="preserve">for</w:t>
        </w:r>
        <w:r>
          <w:rPr>
            <w:rStyle w:val="Hyperlink"/>
          </w:rPr>
          <w:t xml:space="preserve"> </w:t>
        </w:r>
        <w:r>
          <w:rPr>
            <w:rStyle w:val="Hyperlink"/>
          </w:rPr>
          <w:t xml:space="preserve">Patients With Right-</w:t>
        </w:r>
        <w:r>
          <w:rPr>
            <w:rStyle w:val="Hyperlink"/>
          </w:rPr>
          <w:t xml:space="preserve"> </w:t>
        </w:r>
        <w:r>
          <w:rPr>
            <w:rStyle w:val="Hyperlink"/>
          </w:rPr>
          <w:t xml:space="preserve">and</w:t>
        </w:r>
        <w:r>
          <w:rPr>
            <w:rStyle w:val="Hyperlink"/>
          </w:rPr>
          <w:t xml:space="preserve"> </w:t>
        </w:r>
        <w:r>
          <w:rPr>
            <w:rStyle w:val="Hyperlink"/>
          </w:rPr>
          <w:t xml:space="preserve">Left-Hemisphere Ischemic Stroke</w:t>
        </w:r>
        <w:r>
          <w:rPr>
            <w:rStyle w:val="Hyperlink"/>
          </w:rPr>
          <w:t xml:space="preserve">?</w:t>
        </w:r>
      </w:hyperlink>
      <w:r>
        <w:t xml:space="preserve"> </w:t>
      </w:r>
      <w:r>
        <w:rPr>
          <w:i/>
          <w:iCs/>
        </w:rPr>
        <w:t xml:space="preserve">Stroke</w:t>
      </w:r>
      <w:r>
        <w:t xml:space="preserve">. 2002;33:954–958.</w:t>
      </w:r>
      <w:r>
        <w:t xml:space="preserve"> </w:t>
      </w:r>
    </w:p>
    <w:bookmarkEnd w:id="78"/>
    <w:bookmarkEnd w:id="79"/>
    <w:p>
      <w:r>
        <w:br w:type="page"/>
      </w:r>
    </w:p>
    <w:bookmarkEnd w:id="80"/>
    <w:bookmarkStart w:id="8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81" w:name="tbl-1"/>
          <w:p>
            <w:pPr>
              <w:jc w:val="center"/>
            </w:pPr>
            <w:pPr>
              <w:jc w:val="left"/>
              <w:spacing w:before="200"/>
              <w:pStyle w:val="ImageCaption"/>
            </w:pPr>
            <w:r>
              <w:t xml:space="preserve">Table 1: Demographic and Clinical Characteristics of Patients with Left and Right Hemispheric Intracerebral Hemorrhage at Baseline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3,477</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Left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1,720</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Right</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1,757</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SMD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713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Alaskan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2,296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Unknown/Not Reported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LNW to ED Presentation (mins)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(59,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SBP (mm 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(165,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NIHSS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GCS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II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Previous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Location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Basal Ganglia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Thalamus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ICH Volume (mL)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IVH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Study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ATACH-2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ERICH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defaul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p>
              </w:tc>
            </w:tr>
          </w:tbl>
          <w:bookmarkEnd w:id="81"/>
        </w:tc>
      </w:tr>
    </w:tbl>
    <w:p>
      <w:r>
        <w:br w:type="page"/>
      </w:r>
    </w:p>
    <w:tbl>
      <w:tblPr>
        <w:tblStyle w:val="Table"/>
        <w:tblW w:type="pct" w:w="5000"/>
        <w:tblLayout w:type="fixed"/>
        <w:tblLook w:firstRow="0" w:lastRow="0" w:firstColumn="0" w:lastColumn="0" w:noHBand="0" w:noVBand="0" w:val="0000"/>
      </w:tblPr>
      <w:tblGrid>
        <w:gridCol w:w="7920"/>
      </w:tblGrid>
      <w:tr>
        <w:tc>
          <w:tcPr/>
          <w:bookmarkStart w:id="82" w:name="tbl-2"/>
          <w:p>
            <w:pPr>
              <w:jc w:val="center"/>
            </w:pPr>
            <w:pPr>
              <w:jc w:val="left"/>
              <w:spacing w:before="200"/>
              <w:pStyle w:val="ImageCaption"/>
            </w:pPr>
            <w:r>
              <w:t xml:space="preserve">Table 2: Association of Hemispheric Laterality with Primary and Secondary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(0.99 - 2.81)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(0.66 - 1.91)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0.93 (0.63 - 1.35)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(0.85 - 1.21)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41.3%</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among patients receiving mechanical ventilation; excludes patients with zero ventilator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82"/>
        </w:tc>
      </w:tr>
    </w:tbl>
    <w:p>
      <w:r>
        <w:br w:type="page"/>
      </w:r>
    </w:p>
    <w:tbl>
      <w:tblPr>
        <w:tblStyle w:val="Table"/>
        <w:tblW w:type="pct" w:w="5000"/>
        <w:tblLayout w:type="fixed"/>
        <w:tblLook w:firstRow="0" w:lastRow="0" w:firstColumn="0" w:lastColumn="0" w:noHBand="0" w:noVBand="0" w:val="0000"/>
      </w:tblPr>
      <w:tblGrid>
        <w:gridCol w:w="7920"/>
      </w:tblGrid>
      <w:tr>
        <w:tc>
          <w:tcPr/>
          <w:bookmarkStart w:id="83" w:name="tbl-3"/>
          <w:p>
            <w:pPr>
              <w:jc w:val="center"/>
            </w:pPr>
            <w:pPr>
              <w:jc w:val="left"/>
              <w:spacing w:before="200"/>
              <w:pStyle w:val="ImageCaption"/>
            </w:pPr>
            <w:r>
              <w:t xml:space="preserve">Table 3: Association of Hemispheric Laterality with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62.3%</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83"/>
        </w:tc>
      </w:tr>
    </w:tbl>
    <w:p>
      <w:r>
        <w:br w:type="page"/>
      </w:r>
    </w:p>
    <w:bookmarkEnd w:id="84"/>
    <w:bookmarkStart w:id="8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1"/>
          <w:p>
            <w:pPr>
              <w:pStyle w:val="Compact"/>
              <w:jc w:val="center"/>
            </w:pPr>
            <w:r>
              <w:drawing>
                <wp:inline>
                  <wp:extent cx="5943600" cy="5943600"/>
                  <wp:effectExtent b="0" l="0" r="0" t="0"/>
                  <wp:docPr descr="" title="" id="86" name="Picture"/>
                  <a:graphic>
                    <a:graphicData uri="http://schemas.openxmlformats.org/drawingml/2006/picture">
                      <pic:pic>
                        <pic:nvPicPr>
                          <pic:cNvPr descr="../figures/figure_sensitivity_neurosurgery_evac.pdf" id="87" name="Picture"/>
                          <pic:cNvPicPr>
                            <a:picLocks noChangeArrowheads="1" noChangeAspect="1"/>
                          </pic:cNvPicPr>
                        </pic:nvPicPr>
                        <pic:blipFill>
                          <a:blip r:embed="rId8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Prior Sensitivity Analysis for Neurosurgical Intervention</w:t>
            </w:r>
          </w:p>
          <w:bookmarkEnd w:id="88"/>
        </w:tc>
      </w:tr>
    </w:tbl>
    <w:bookmarkEnd w:id="89"/>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5" Target="media/rId85.pdf" /><Relationship Type="http://schemas.openxmlformats.org/officeDocument/2006/relationships/hyperlink" Id="rId67" Target="https://doi.org/10.1007/s12028-014-9956-0" TargetMode="External" /><Relationship Type="http://schemas.openxmlformats.org/officeDocument/2006/relationships/hyperlink" Id="rId69" Target="https://doi.org/10.1007/s12028-016-0362-7" TargetMode="External" /><Relationship Type="http://schemas.openxmlformats.org/officeDocument/2006/relationships/hyperlink" Id="rId71"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7"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3"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5"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7/s12028-014-9956-0" TargetMode="External" /><Relationship Type="http://schemas.openxmlformats.org/officeDocument/2006/relationships/hyperlink" Id="rId69" Target="https://doi.org/10.1007/s12028-016-0362-7" TargetMode="External" /><Relationship Type="http://schemas.openxmlformats.org/officeDocument/2006/relationships/hyperlink" Id="rId71" Target="https://doi.org/10.1007/s12028-018-0586-9" TargetMode="External" /><Relationship Type="http://schemas.openxmlformats.org/officeDocument/2006/relationships/hyperlink" Id="rId37" Target="https://doi.org/10.1016/S0140-6736(05)67024-9" TargetMode="External" /><Relationship Type="http://schemas.openxmlformats.org/officeDocument/2006/relationships/hyperlink" Id="rId51" Target="https://doi.org/10.1016/S0140-6736(24)00702-5" TargetMode="External" /><Relationship Type="http://schemas.openxmlformats.org/officeDocument/2006/relationships/hyperlink" Id="rId65" Target="https://doi.org/10.1016/j.jclinepi.2016.04.014" TargetMode="External" /><Relationship Type="http://schemas.openxmlformats.org/officeDocument/2006/relationships/hyperlink" Id="rId59" Target="https://doi.org/10.1038/s41562-021-01177-7" TargetMode="External" /><Relationship Type="http://schemas.openxmlformats.org/officeDocument/2006/relationships/hyperlink" Id="rId53" Target="https://doi.org/10.1056/NEJMoa1603460" TargetMode="External" /><Relationship Type="http://schemas.openxmlformats.org/officeDocument/2006/relationships/hyperlink" Id="rId31" Target="https://doi.org/10.1056/NEJMoa2308440" TargetMode="External" /><Relationship Type="http://schemas.openxmlformats.org/officeDocument/2006/relationships/hyperlink" Id="rId29" Target="https://doi.org/10.1056/NEJMra2201449" TargetMode="External" /><Relationship Type="http://schemas.openxmlformats.org/officeDocument/2006/relationships/hyperlink" Id="rId63" Target="https://doi.org/10.1093/ije/dyaa213" TargetMode="External" /><Relationship Type="http://schemas.openxmlformats.org/officeDocument/2006/relationships/hyperlink" Id="rId61" Target="https://doi.org/10.1097/EDE.0000000000001758" TargetMode="External" /><Relationship Type="http://schemas.openxmlformats.org/officeDocument/2006/relationships/hyperlink" Id="rId49" Target="https://doi.org/10.1136/jnnp-2014-309870" TargetMode="External" /><Relationship Type="http://schemas.openxmlformats.org/officeDocument/2006/relationships/hyperlink" Id="rId47" Target="https://doi.org/10.1159/000454775" TargetMode="External" /><Relationship Type="http://schemas.openxmlformats.org/officeDocument/2006/relationships/hyperlink" Id="rId77" Target="https://doi.org/10.1161/01.STR.0000013069.24300.1D" TargetMode="External" /><Relationship Type="http://schemas.openxmlformats.org/officeDocument/2006/relationships/hyperlink" Id="rId45" Target="https://doi.org/10.1161/01.STR.0000229899.66019.62" TargetMode="External" /><Relationship Type="http://schemas.openxmlformats.org/officeDocument/2006/relationships/hyperlink" Id="rId27" Target="https://doi.org/10.1161/01.STR.32.4.891" TargetMode="External" /><Relationship Type="http://schemas.openxmlformats.org/officeDocument/2006/relationships/hyperlink" Id="rId73" Target="https://doi.org/10.1161/STROKEAHA.108.523365" TargetMode="External" /><Relationship Type="http://schemas.openxmlformats.org/officeDocument/2006/relationships/hyperlink" Id="rId55" Target="https://doi.org/10.1161/STROKEAHA.113.002332" TargetMode="External" /><Relationship Type="http://schemas.openxmlformats.org/officeDocument/2006/relationships/hyperlink" Id="rId39" Target="https://doi.org/10.1161/STROKEAHA.114.007385" TargetMode="External" /><Relationship Type="http://schemas.openxmlformats.org/officeDocument/2006/relationships/hyperlink" Id="rId75" Target="https://doi.org/10.1161/STROKEAHA.118.023102" TargetMode="External" /><Relationship Type="http://schemas.openxmlformats.org/officeDocument/2006/relationships/hyperlink" Id="rId43" Target="https://doi.org/10.1186/s42466-022-00223-7" TargetMode="External" /><Relationship Type="http://schemas.openxmlformats.org/officeDocument/2006/relationships/hyperlink" Id="rId35" Target="https://doi.org/10.1212/01.wnl.0000167608.94237.aa" TargetMode="External" /><Relationship Type="http://schemas.openxmlformats.org/officeDocument/2006/relationships/hyperlink" Id="rId33" Target="https://doi.org/10.1212/WNL.0000000000207735" TargetMode="External" /><Relationship Type="http://schemas.openxmlformats.org/officeDocument/2006/relationships/hyperlink" Id="rId41" Target="https://doi.org/10.3389/fneur.2021.774247" TargetMode="External" /><Relationship Type="http://schemas.openxmlformats.org/officeDocument/2006/relationships/hyperlink" Id="rId17" Target="https://github.com/nikhilpatelmd/ich-laterality"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2026-04-21T01:45:32Z</dcterms:created>
  <dcterms:modified xsi:type="dcterms:W3CDTF">2026-04-21T01:45:32Z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