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Outcome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Left Hemisphere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Right Hemisphere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aOR (95% CI)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Probability of any difference (aOR &gt; 1)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Probability of a substantial difference (aOR &gt; 1.2)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ROPE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Neurosurgical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86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144 (8.2%)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1.56 (1.07 - 2.27)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External Ventricular Drain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236 (13.7%)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272 (15.5%)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1.34 (1.02 - 1.77)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Days of Mechanical Ventilation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 (3 - 12)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 (3 - 9)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0.94 (0.49 - 1.77)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Tracheostomy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1.06 (0.63 - 1.75)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Withdrawal of Life-Sustaining Therapy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152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143 (8.1%)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1.01 (0.73 - 1.4)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Early Withdrawal of Life-Sustaining Therapy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0.91 (0.58 - 1.41)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DNR 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195 (11.3%)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202 (11.5%)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1.05 (0.77 - 1.44)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aOR = adjusted odds ratio, CI = 95% credible interval; adjusted for age, admission GCS, ICH location, IVH, and study (as random intercept)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ROPE = region of practical equivalence, defined as 0.95 &gt; aOR &gt; 1.05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median (IQR)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2025-02-25T18:08:04Z</dcterms:created>
  <dcterms:modified xsi:type="dcterms:W3CDTF">2025-02-25T18:08:04Z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