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Subgroup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Left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Right Hemisphere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aOR (95% CI)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any difference (aOR &gt; 1)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Probability of a substantial difference (aOR &gt; 1.2)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ROPE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ICH 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Basal Ganglia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43 (6.2%)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1.39 (0.86 - 2.12)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Lobar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39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76 (14.9%)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2.00 (1.30 - 2.99)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Thalamus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17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1.79 (0.83 - 3.42)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ATACH-2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30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2.83 (1.31 - 5.45)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ERICH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73 (5.8%)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114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1.86 (1.27 - 2.64)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aOR = adjusted odds ratio, CI = 95% credible interval; adjusted for age, admission GCS, ICH location, IVH, and study (as random intercept)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ROPE = region of practical equivalence, defined as 0.95 &gt; aOR &gt; 1.05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2025-02-25T18:10:39Z</dcterms:created>
  <dcterms:modified xsi:type="dcterms:W3CDTF">2025-02-25T18:10:39Z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