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35.png" ContentType="image/png"/>
  <Override PartName="/word/media/rId39.png" ContentType="image/png"/>
  <Override PartName="/word/media/rId13.png" ContentType="image/png"/>
  <Override PartName="/word/media/rId9.png" ContentType="image/png"/>
  <Override PartName="/word/media/rId44.png" ContentType="image/png"/>
  <Override PartName="/word/media/rId57.png" ContentType="image/png"/>
  <Override PartName="/word/media/rId47.png" ContentType="image/png"/>
  <Override PartName="/word/media/rId60.png" ContentType="image/png"/>
  <Override PartName="/word/media/rId53.png" ContentType="image/png"/>
  <Override PartName="/word/media/rId66.png" ContentType="image/png"/>
  <Override PartName="/word/media/rId50.png" ContentType="image/png"/>
  <Override PartName="/word/media/rId63.png" ContentType="image/png"/>
  <Override PartName="/word/media/rId168.png" ContentType="image/png"/>
  <Override PartName="/word/media/rId97.png" ContentType="image/png"/>
  <Override PartName="/word/media/rId178.png" ContentType="image/png"/>
  <Override PartName="/word/media/rId107.png" ContentType="image/png"/>
  <Override PartName="/word/media/rId173.png" ContentType="image/png"/>
  <Override PartName="/word/media/rId102.png" ContentType="image/png"/>
  <Override PartName="/word/media/rId208.png" ContentType="image/png"/>
  <Override PartName="/word/media/rId137.png" ContentType="image/png"/>
  <Override PartName="/word/media/rId188.png" ContentType="image/png"/>
  <Override PartName="/word/media/rId117.png" ContentType="image/png"/>
  <Override PartName="/word/media/rId203.png" ContentType="image/png"/>
  <Override PartName="/word/media/rId132.png" ContentType="image/png"/>
  <Override PartName="/word/media/rId193.png" ContentType="image/png"/>
  <Override PartName="/word/media/rId122.png" ContentType="image/png"/>
  <Override PartName="/word/media/rId198.png" ContentType="image/png"/>
  <Override PartName="/word/media/rId127.png" ContentType="image/png"/>
  <Override PartName="/word/media/rId213.png" ContentType="image/png"/>
  <Override PartName="/word/media/rId142.png" ContentType="image/png"/>
  <Override PartName="/word/media/rId153.png" ContentType="image/png"/>
  <Override PartName="/word/media/rId82.png" ContentType="image/png"/>
  <Override PartName="/word/media/rId183.png" ContentType="image/png"/>
  <Override PartName="/word/media/rId112.png" ContentType="image/png"/>
  <Override PartName="/word/media/rId148.png" ContentType="image/png"/>
  <Override PartName="/word/media/rId77.png" ContentType="image/png"/>
  <Override PartName="/word/media/rId158.png" ContentType="image/png"/>
  <Override PartName="/word/media/rId87.png" ContentType="image/png"/>
  <Override PartName="/word/media/rId16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54" w:name="details-of-statistical-analysis"/>
    <w:p>
      <w:pPr>
        <w:pStyle w:val="Heading1"/>
      </w:pPr>
      <w:r>
        <w:t xml:space="preserve">Details of Statistical Analysis</w:t>
      </w:r>
    </w:p>
    <w:bookmarkStart w:id="17" w:name="covariate-selection"/>
    <w:p>
      <w:pPr>
        <w:pStyle w:val="Heading2"/>
      </w:pPr>
      <w:r>
        <w:t xml:space="preserve">Covariate Selection</w:t>
      </w:r>
    </w:p>
    <w:p>
      <w:pPr>
        <w:pStyle w:val="FirstParagraph"/>
      </w:pPr>
      <w:r>
        <w:t xml:space="preserve">As mentioned in the primary manuscript, we constructed directed acyclic graphs (DAGs) to facilitate covariate selection. DAGs are graphical models used to represent causal relationships between variables. They consist of nodes (representing variables) and directed arrows (representing causal influences). DAGs can help minimize several sources of bias that are inherent in many observational studies, such as confounding bias and selection bias. When constructed with subject-matter knowledge, they can provide a framework for making causal inferences from observational data. Specifically, they can help researchers with three key benefits:</w:t>
      </w:r>
    </w:p>
    <w:p>
      <w:pPr>
        <w:numPr>
          <w:ilvl w:val="0"/>
          <w:numId w:val="1001"/>
        </w:numPr>
      </w:pPr>
      <w:r>
        <w:rPr>
          <w:b/>
          <w:bCs/>
        </w:rPr>
        <w:t xml:space="preserve">Identify minimal adjustment sets</w:t>
      </w:r>
      <w:r>
        <w:t xml:space="preserve">: Determine the smallest set of variables to control for to estimate the causal effect of an exposure on an outcome.</w:t>
      </w:r>
    </w:p>
    <w:p>
      <w:pPr>
        <w:numPr>
          <w:ilvl w:val="0"/>
          <w:numId w:val="1001"/>
        </w:numPr>
      </w:pPr>
      <w:r>
        <w:rPr>
          <w:b/>
          <w:bCs/>
        </w:rPr>
        <w:t xml:space="preserve">Avoid over-adjustment</w:t>
      </w:r>
      <w:r>
        <w:t xml:space="preserve">: Prevent controlling for variables that are mediators or colliders, which can bias the results.</w:t>
      </w:r>
    </w:p>
    <w:p>
      <w:pPr>
        <w:numPr>
          <w:ilvl w:val="0"/>
          <w:numId w:val="1001"/>
        </w:numPr>
      </w:pPr>
      <w:r>
        <w:rPr>
          <w:b/>
          <w:bCs/>
        </w:rPr>
        <w:t xml:space="preserve">Clarify causal assumptions</w:t>
      </w:r>
      <w:r>
        <w:t xml:space="preserve">: Make the underlying causal assumptions explicit and transparent.</w:t>
      </w:r>
      <w:r>
        <w:rPr>
          <w:vertAlign w:val="superscript"/>
        </w:rPr>
        <w:t xml:space="preserve">1</w:t>
      </w:r>
    </w:p>
    <w:p>
      <w:pPr>
        <w:pStyle w:val="FirstParagraph"/>
      </w:pPr>
      <w:r>
        <w:t xml:space="preserve">In constructing DAGs for this project, we used guidance and recommendations from previous literature.</w:t>
      </w:r>
      <w:r>
        <w:rPr>
          <w:vertAlign w:val="superscript"/>
        </w:rPr>
        <w:t xml:space="preserve">2–4</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r>
        <w:t xml:space="preserve"> </w:t>
      </w: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 Because these variables are only measured in the ATACH-2 cohort, their role as mediators (rather than confounders) is further examined in a population-restricted sensitivity analysis described below.</w:t>
      </w:r>
      <w:r>
        <w:rPr>
          <w:vertAlign w:val="superscript"/>
        </w:rPr>
        <w:t xml:space="preserve">2</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presence of IVH, and time from symptom onset to emergency department arrival, but did not include neurosurgical intervention or other post-baseline treatment variables as covariates.</w:t>
      </w:r>
      <w:r>
        <w:rPr>
          <w:vertAlign w:val="superscript"/>
        </w:rPr>
        <w:t xml:space="preserve">2</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generally followed suggestions from previous literature.</w:t>
      </w:r>
      <w:r>
        <w:rPr>
          <w:vertAlign w:val="superscript"/>
        </w:rPr>
        <w:t xml:space="preserve">5–7</w:t>
      </w:r>
      <w:r>
        <w:t xml:space="preserve"> </w:t>
      </w:r>
      <w:r>
        <w:t xml:space="preserve">Specifically, we defined four sets of prior distributions for the</w:t>
      </w:r>
      <w:r>
        <w:t xml:space="preserve"> </w:t>
      </w:r>
      <w:r>
        <w:t xml:space="preserve">hemispheric laterality coefficient (i.e., the log-odds or log-incidence rate ratio assigned to right vs. left hemisphere ICH in each model) across all outcomes. Because our models include multiple covariates and a random study intercept, the priors below describe the</w:t>
      </w:r>
      <w:r>
        <w:t xml:space="preserve"> </w:t>
      </w:r>
      <w:r>
        <w:rPr>
          <w:i/>
          <w:iCs/>
        </w:rPr>
        <w:t xml:space="preserve">conditional</w:t>
      </w:r>
      <w:r>
        <w:t xml:space="preserve"> </w:t>
      </w:r>
      <w:r>
        <w:t xml:space="preserve">laterality effect — the association between hemispheric laterality and each outcome holding all adjustment covariates constant. The implications of these priors at the data level (i.e., the</w:t>
      </w:r>
      <w:r>
        <w:t xml:space="preserve"> </w:t>
      </w:r>
      <w:r>
        <w:t xml:space="preserve">population-averaged marginal effect they imply before observing outcomes) are characterized empirically through prior predictive checks reported in</w:t>
      </w:r>
      <w:r>
        <w:t xml:space="preserve"> </w:t>
      </w:r>
      <w:r>
        <w:rPr>
          <w:b/>
          <w:bCs/>
        </w:rPr>
        <w:t xml:space="preserve">Table 2</w:t>
      </w:r>
      <w:r>
        <w:t xml:space="preserve">.</w:t>
      </w:r>
    </w:p>
    <w:p>
      <w:pPr>
        <w:pStyle w:val="BodyText"/>
      </w:pPr>
      <w:r>
        <w:rPr>
          <w:b/>
          <w:bCs/>
        </w:rPr>
        <w:t xml:space="preserve">Neutral prior</w:t>
      </w:r>
      <w:r>
        <w:t xml:space="preserve">: This prior encodes the assumption that hemispheric lateralization does not meaningfully affect the outcome — it represents the</w:t>
      </w:r>
      <w:r>
        <w:t xml:space="preserve"> </w:t>
      </w:r>
      <w:r>
        <w:rPr>
          <w:b/>
          <w:bCs/>
        </w:rPr>
        <w:t xml:space="preserve">null hypothesis</w:t>
      </w:r>
      <w:r>
        <w:t xml:space="preserve"> </w:t>
      </w:r>
      <w:r>
        <w:t xml:space="preserve">on the coefficient scale. The laterality coefficient is assigned a prior of</w:t>
      </w:r>
      <w:r>
        <w:t xml:space="preserve"> </w:t>
      </w:r>
      <w:r>
        <w:rPr>
          <w:b/>
          <w:bCs/>
        </w:rPr>
        <w:t xml:space="preserve">0</w:t>
      </w:r>
      <w:r>
        <w:t xml:space="preserve"> </w:t>
      </w:r>
      <m:oMath>
        <m:r>
          <m:rPr>
            <m:sty m:val="p"/>
          </m:rPr>
          <m:t>±</m:t>
        </m:r>
      </m:oMath>
      <w:r>
        <w:t xml:space="preserve"> </w:t>
      </w:r>
      <w:r>
        <w:rPr>
          <w:b/>
          <w:bCs/>
        </w:rPr>
        <w:t xml:space="preserve">0.5</w:t>
      </w:r>
      <w:r>
        <w:t xml:space="preserve"> </w:t>
      </w:r>
      <w:r>
        <w:t xml:space="preserve">(mean</w:t>
      </w:r>
      <w:r>
        <w:t xml:space="preserve"> </w:t>
      </w:r>
      <m:oMath>
        <m:r>
          <m:rPr>
            <m:sty m:val="p"/>
          </m:rPr>
          <m:t>±</m:t>
        </m:r>
      </m:oMath>
      <w:r>
        <w:t xml:space="preserve"> </w:t>
      </w:r>
      <w:r>
        <w:t xml:space="preserve">SD on the log scale), placing the conditional OR at</w:t>
      </w:r>
      <w:r>
        <w:t xml:space="preserve"> </w:t>
      </w:r>
      <w:r>
        <w:rPr>
          <w:b/>
          <w:bCs/>
        </w:rPr>
        <w:t xml:space="preserve">1</w:t>
      </w:r>
      <w:r>
        <w:t xml:space="preserve"> </w:t>
      </w:r>
      <w:r>
        <w:t xml:space="preserve">with 95% of the prior probability mass between</w:t>
      </w:r>
      <w:r>
        <w:t xml:space="preserve"> </w:t>
      </w:r>
      <w:r>
        <w:rPr>
          <w:b/>
          <w:bCs/>
        </w:rPr>
        <w:t xml:space="preserve">0.38</w:t>
      </w:r>
      <w:r>
        <w:t xml:space="preserve"> </w:t>
      </w:r>
      <w:r>
        <w:t xml:space="preserve">and</w:t>
      </w:r>
      <w:r>
        <w:t xml:space="preserve"> </w:t>
      </w:r>
      <w:r>
        <w:rPr>
          <w:b/>
          <w:bCs/>
        </w:rPr>
        <w:t xml:space="preserve">2.66</w:t>
      </w:r>
      <w:r>
        <w:t xml:space="preserve"> </w:t>
      </w:r>
      <w:r>
        <w:t xml:space="preserve">on the OR scale.</w:t>
      </w:r>
    </w:p>
    <w:p>
      <w:pPr>
        <w:pStyle w:val="BodyText"/>
      </w:pPr>
      <w:r>
        <w:rPr>
          <w:b/>
          <w:bCs/>
        </w:rPr>
        <w:t xml:space="preserve">Left hemisphere prior</w:t>
      </w:r>
      <w:r>
        <w:t xml:space="preserve">: This prior encodes the assumption that outcomes are more likely following left hemisphere ICH. A coefficient-specific prior is placed directly on the</w:t>
      </w:r>
      <w:r>
        <w:t xml:space="preserve"> </w:t>
      </w:r>
      <w:r>
        <w:rPr>
          <w:rStyle w:val="VerbatimChar"/>
        </w:rPr>
        <w:t xml:space="preserve">ich_lateralityRight</w:t>
      </w:r>
      <w:r>
        <w:t xml:space="preserve"> </w:t>
      </w:r>
      <w:r>
        <w:t xml:space="preserve">term, with mean</w:t>
      </w:r>
      <w:r>
        <w:t xml:space="preserve"> </w:t>
      </w:r>
      <w:r>
        <w:rPr>
          <w:b/>
          <w:bCs/>
        </w:rPr>
        <w:t xml:space="preserve">-0.22</w:t>
      </w:r>
      <w:r>
        <w:t xml:space="preserve"> </w:t>
      </w:r>
      <w:r>
        <w:t xml:space="preserve">and SD</w:t>
      </w:r>
      <w:r>
        <w:t xml:space="preserve"> </w:t>
      </w:r>
      <w:r>
        <w:rPr>
          <w:b/>
          <w:bCs/>
        </w:rPr>
        <w:t xml:space="preserve">0.175</w:t>
      </w:r>
      <w:r>
        <w:t xml:space="preserve">, placing the conditional OR for right hemisphere (relative to left) at</w:t>
      </w:r>
      <w:r>
        <w:t xml:space="preserve"> </w:t>
      </w:r>
      <w:r>
        <w:rPr>
          <w:b/>
          <w:bCs/>
        </w:rPr>
        <w:t xml:space="preserve">0.8</w:t>
      </w:r>
      <w:r>
        <w:t xml:space="preserve"> </w:t>
      </w:r>
      <w:r>
        <w:t xml:space="preserve">with 95% of the prior probability mass between</w:t>
      </w:r>
      <w:r>
        <w:t xml:space="preserve"> </w:t>
      </w:r>
      <w:r>
        <w:rPr>
          <w:b/>
          <w:bCs/>
        </w:rPr>
        <w:t xml:space="preserve">0.57</w:t>
      </w:r>
      <w:r>
        <w:t xml:space="preserve"> </w:t>
      </w:r>
      <w:r>
        <w:t xml:space="preserve">and</w:t>
      </w:r>
      <w:r>
        <w:t xml:space="preserve"> </w:t>
      </w:r>
      <w:r>
        <w:rPr>
          <w:b/>
          <w:bCs/>
        </w:rPr>
        <w:t xml:space="preserve">1.13</w:t>
      </w:r>
      <w:r>
        <w:t xml:space="preserve">.</w:t>
      </w:r>
    </w:p>
    <w:p>
      <w:pPr>
        <w:pStyle w:val="BodyText"/>
      </w:pPr>
      <w:r>
        <w:rPr>
          <w:b/>
          <w:bCs/>
        </w:rPr>
        <w:t xml:space="preserve">Right hemisphere prior</w:t>
      </w:r>
      <w:r>
        <w:t xml:space="preserve">: This prior encodes the assumption that outcomes are more likely following right hemisphere ICH. A coefficient-specific prior is placed on the</w:t>
      </w:r>
      <w:r>
        <w:t xml:space="preserve"> </w:t>
      </w:r>
      <w:r>
        <w:rPr>
          <w:rStyle w:val="VerbatimChar"/>
        </w:rPr>
        <w:t xml:space="preserve">ich_lateralityRight</w:t>
      </w:r>
      <w:r>
        <w:t xml:space="preserve"> </w:t>
      </w:r>
      <w:r>
        <w:t xml:space="preserve">term, with mean</w:t>
      </w:r>
      <w:r>
        <w:t xml:space="preserve"> </w:t>
      </w:r>
      <w:r>
        <w:rPr>
          <w:b/>
          <w:bCs/>
        </w:rPr>
        <w:t xml:space="preserve">0.18</w:t>
      </w:r>
      <w:r>
        <w:t xml:space="preserve"> </w:t>
      </w:r>
      <w:r>
        <w:t xml:space="preserve">and SD</w:t>
      </w:r>
      <w:r>
        <w:t xml:space="preserve"> </w:t>
      </w:r>
      <w:r>
        <w:rPr>
          <w:b/>
          <w:bCs/>
        </w:rPr>
        <w:t xml:space="preserve">0.175</w:t>
      </w:r>
      <w:r>
        <w:t xml:space="preserve">, placing the</w:t>
      </w:r>
      <w:r>
        <w:t xml:space="preserve"> </w:t>
      </w:r>
      <w:r>
        <w:t xml:space="preserve">conditional OR for right hemisphere at</w:t>
      </w:r>
      <w:r>
        <w:t xml:space="preserve"> </w:t>
      </w:r>
      <w:r>
        <w:rPr>
          <w:b/>
          <w:bCs/>
        </w:rPr>
        <w:t xml:space="preserve">1.2</w:t>
      </w:r>
      <w:r>
        <w:t xml:space="preserve"> </w:t>
      </w:r>
      <w:r>
        <w:t xml:space="preserve">with 95% of the prior probability mass between</w:t>
      </w:r>
      <w:r>
        <w:t xml:space="preserve"> </w:t>
      </w:r>
      <w:r>
        <w:rPr>
          <w:b/>
          <w:bCs/>
        </w:rPr>
        <w:t xml:space="preserve">0.85</w:t>
      </w:r>
      <w:r>
        <w:t xml:space="preserve"> </w:t>
      </w:r>
      <w:r>
        <w:t xml:space="preserve">and</w:t>
      </w:r>
      <w:r>
        <w:t xml:space="preserve"> </w:t>
      </w:r>
      <w:r>
        <w:rPr>
          <w:b/>
          <w:bCs/>
        </w:rPr>
        <w:t xml:space="preserve">1.69</w:t>
      </w:r>
      <w:r>
        <w:t xml:space="preserve">.</w:t>
      </w:r>
    </w:p>
    <w:p>
      <w:pPr>
        <w:pStyle w:val="BodyText"/>
      </w:pPr>
      <w:r>
        <w:rPr>
          <w:b/>
          <w:bCs/>
        </w:rPr>
        <w:t xml:space="preserve">Flat prior</w:t>
      </w:r>
      <w:r>
        <w:t xml:space="preserve">: This prior most closely approximates a frequentist analysis, in that the distribution is sufficiently wide to contribute minimal information to the posterior. The laterality coefficient is assigned a prior with mean</w:t>
      </w:r>
      <w:r>
        <w:t xml:space="preserve"> </w:t>
      </w:r>
      <w:r>
        <w:rPr>
          <w:b/>
          <w:bCs/>
        </w:rPr>
        <w:t xml:space="preserve">0</w:t>
      </w:r>
      <w:r>
        <w:t xml:space="preserve"> </w:t>
      </w:r>
      <w:r>
        <w:t xml:space="preserve">and SD</w:t>
      </w:r>
      <w:r>
        <w:t xml:space="preserve"> </w:t>
      </w:r>
      <w:r>
        <w:rPr>
          <w:b/>
          <w:bCs/>
        </w:rPr>
        <w:t xml:space="preserve">5</w:t>
      </w:r>
      <w:r>
        <w:t xml:space="preserve">,</w:t>
      </w:r>
      <w:r>
        <w:t xml:space="preserve"> </w:t>
      </w:r>
      <w:r>
        <w:t xml:space="preserve">corresponding to a conditional OR of</w:t>
      </w:r>
      <w:r>
        <w:t xml:space="preserve"> </w:t>
      </w:r>
      <w:r>
        <w:rPr>
          <w:b/>
          <w:bCs/>
        </w:rPr>
        <w:t xml:space="preserve">1</w:t>
      </w:r>
      <w:r>
        <w:t xml:space="preserve"> </w:t>
      </w:r>
      <w:r>
        <w:t xml:space="preserve">with 95% of the prior probability mass spanning</w:t>
      </w:r>
      <w:r>
        <w:t xml:space="preserve"> </w:t>
      </w:r>
      <w:r>
        <w:rPr>
          <w:b/>
          <w:bCs/>
        </w:rPr>
        <w:t xml:space="preserve">0</w:t>
      </w:r>
      <w:r>
        <w:t xml:space="preserve"> </w:t>
      </w:r>
      <w:r>
        <w:t xml:space="preserve">to</w:t>
      </w:r>
      <w:r>
        <w:t xml:space="preserve"> </w:t>
      </w:r>
      <w:r>
        <w:rPr>
          <w:b/>
          <w:bCs/>
        </w:rPr>
        <w:t xml:space="preserve">1.803374</w:t>
      </w:r>
      <w:r>
        <w:rPr>
          <w:b/>
          <w:bCs/>
        </w:rPr>
        <w:t xml:space="preserve">^{4}</w:t>
      </w:r>
      <w:r>
        <w:t xml:space="preserve"> </w:t>
      </w:r>
      <w:r>
        <w:t xml:space="preserve">— a range wide enough to be consistent with nearly any plausible effect size. An exception applies to the Days of Mechanical Ventilation model, where the flat prior SD was reduced to 2 on the log scale; because this outcome is modeled with a log-link negative binomial and continuous predictors are on their natural scales, a SD of 5 produces prior predictive counts many orders of magnitude outside any plausible clinical range.</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flat-prior"/>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flat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flat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6"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70"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6" w:name="mrs-at-90-days"/>
    <w:p>
      <w:pPr>
        <w:pStyle w:val="Heading4"/>
      </w:pPr>
      <w:r>
        <w:t xml:space="preserve">mRS at 90 Days</w:t>
      </w:r>
    </w:p>
    <w:p>
      <w:pPr>
        <w:pStyle w:val="SourceCode"/>
      </w:pPr>
      <w:r>
        <w:rPr>
          <w:rStyle w:val="VerbatimChar"/>
        </w:rPr>
        <w:t xml:space="preserve">Warning: Combining variables of class &lt;shade&gt; and &lt;factor&gt; was deprecated in ggplot2</w:t>
      </w:r>
      <w:r>
        <w:br/>
      </w:r>
      <w:r>
        <w:rPr>
          <w:rStyle w:val="VerbatimChar"/>
        </w:rPr>
        <w:t xml:space="preserve">3.4.0.</w:t>
      </w:r>
      <w:r>
        <w:br/>
      </w:r>
      <w:r>
        <w:rPr>
          <w:rStyle w:val="VerbatimChar"/>
        </w:rPr>
        <w:t xml:space="preserve">ℹ Please ensure your variables are compatible before plotting (location:</w:t>
      </w:r>
      <w:r>
        <w:br/>
      </w:r>
      <w:r>
        <w:rPr>
          <w:rStyle w:val="VerbatimChar"/>
        </w:rPr>
        <w:t xml:space="preserve">  `join_keys()`)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29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20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744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54" name="Picture"/>
            <a:graphic>
              <a:graphicData uri="http://schemas.openxmlformats.org/drawingml/2006/picture">
                <pic:pic>
                  <pic:nvPicPr>
                    <pic:cNvPr descr="manuscript_supplement_files/figure-docx/shadow-time-mrs-1.png" id="55" name="Picture"/>
                    <pic:cNvPicPr>
                      <a:picLocks noChangeArrowheads="1" noChangeAspect="1"/>
                    </pic:cNvPicPr>
                  </pic:nvPicPr>
                  <pic:blipFill>
                    <a:blip r:embed="rId53"/>
                    <a:stretch>
                      <a:fillRect/>
                    </a:stretch>
                  </pic:blipFill>
                  <pic:spPr bwMode="auto">
                    <a:xfrm>
                      <a:off x="0" y="0"/>
                      <a:ext cx="4620126" cy="5544151"/>
                    </a:xfrm>
                    <a:prstGeom prst="rect">
                      <a:avLst/>
                    </a:prstGeom>
                    <a:noFill/>
                    <a:ln w="9525">
                      <a:noFill/>
                      <a:headEnd/>
                      <a:tailEnd/>
                    </a:ln>
                  </pic:spPr>
                </pic:pic>
              </a:graphicData>
            </a:graphic>
          </wp:inline>
        </w:drawing>
      </w:r>
    </w:p>
    <w:bookmarkEnd w:id="56"/>
    <w:bookmarkStart w:id="69" w:name="eq-vas-at-90-days"/>
    <w:p>
      <w:pPr>
        <w:pStyle w:val="Heading4"/>
      </w:pPr>
      <w:r>
        <w:t xml:space="preserve">EQ-VAS at 90 Days</w:t>
      </w:r>
    </w:p>
    <w:p>
      <w:pPr>
        <w:pStyle w:val="FirstParagraph"/>
      </w:pPr>
      <w:r>
        <w:drawing>
          <wp:inline>
            <wp:extent cx="4620126" cy="5544151"/>
            <wp:effectExtent b="0" l="0" r="0" t="0"/>
            <wp:docPr descr="" title="" id="58" name="Picture"/>
            <a:graphic>
              <a:graphicData uri="http://schemas.openxmlformats.org/drawingml/2006/picture">
                <pic:pic>
                  <pic:nvPicPr>
                    <pic:cNvPr descr="manuscript_supplement_files/figure-docx/shadow-age-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29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1" name="Picture"/>
            <a:graphic>
              <a:graphicData uri="http://schemas.openxmlformats.org/drawingml/2006/picture">
                <pic:pic>
                  <pic:nvPicPr>
                    <pic:cNvPr descr="manuscript_supplement_files/figure-docx/shadow-gcs-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20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4" name="Picture"/>
            <a:graphic>
              <a:graphicData uri="http://schemas.openxmlformats.org/drawingml/2006/picture">
                <pic:pic>
                  <pic:nvPicPr>
                    <pic:cNvPr descr="manuscript_supplement_files/figure-docx/shadow-volume-vas-1.png" id="65" name="Picture"/>
                    <pic:cNvPicPr>
                      <a:picLocks noChangeArrowheads="1" noChangeAspect="1"/>
                    </pic:cNvPicPr>
                  </pic:nvPicPr>
                  <pic:blipFill>
                    <a:blip r:embed="rId63"/>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744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7" name="Picture"/>
            <a:graphic>
              <a:graphicData uri="http://schemas.openxmlformats.org/drawingml/2006/picture">
                <pic:pic>
                  <pic:nvPicPr>
                    <pic:cNvPr descr="manuscript_supplement_files/figure-docx/shadow-time-vas-1.png" id="68" name="Picture"/>
                    <pic:cNvPicPr>
                      <a:picLocks noChangeArrowheads="1" noChangeAspect="1"/>
                    </pic:cNvPicPr>
                  </pic:nvPicPr>
                  <pic:blipFill>
                    <a:blip r:embed="rId66"/>
                    <a:stretch>
                      <a:fillRect/>
                    </a:stretch>
                  </pic:blipFill>
                  <pic:spPr bwMode="auto">
                    <a:xfrm>
                      <a:off x="0" y="0"/>
                      <a:ext cx="4620126" cy="5544151"/>
                    </a:xfrm>
                    <a:prstGeom prst="rect">
                      <a:avLst/>
                    </a:prstGeom>
                    <a:noFill/>
                    <a:ln w="9525">
                      <a:noFill/>
                      <a:headEnd/>
                      <a:tailEnd/>
                    </a:ln>
                  </pic:spPr>
                </pic:pic>
              </a:graphicData>
            </a:graphic>
          </wp:inline>
        </w:drawing>
      </w:r>
    </w:p>
    <w:bookmarkEnd w:id="69"/>
    <w:bookmarkEnd w:id="70"/>
    <w:bookmarkStart w:id="75"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p>
      <w:pPr>
        <w:pStyle w:val="SourceCode"/>
      </w:pPr>
      <w:r>
        <w:rPr>
          <w:rStyle w:val="VerbatimChar"/>
        </w:rPr>
        <w:t xml:space="preserve">`geom_smooth()` using formula = 'y ~ x'</w:t>
      </w:r>
    </w:p>
    <w:p>
      <w:pPr>
        <w:pStyle w:val="SourceCode"/>
      </w:pPr>
      <w:r>
        <w:rPr>
          <w:rStyle w:val="VerbatimChar"/>
        </w:rPr>
        <w:t xml:space="preserve">Warning: Removed 1029 rows containing non-finite outside the scale range</w:t>
      </w:r>
      <w:r>
        <w:br/>
      </w:r>
      <w:r>
        <w:rPr>
          <w:rStyle w:val="VerbatimChar"/>
        </w:rPr>
        <w:t xml:space="preserve">(`stat_smooth()`).</w:t>
      </w:r>
    </w:p>
    <w:p>
      <w:pPr>
        <w:pStyle w:val="SourceCode"/>
      </w:pPr>
      <w:r>
        <w:rPr>
          <w:rStyle w:val="VerbatimChar"/>
        </w:rPr>
        <w:t xml:space="preserve">Warning: Removed 980 rows containing missing values or values outside the scale range</w:t>
      </w:r>
      <w:r>
        <w:br/>
      </w:r>
      <w:r>
        <w:rPr>
          <w:rStyle w:val="VerbatimChar"/>
        </w:rPr>
        <w:t xml:space="preserve">(`geom_point()`).</w:t>
      </w:r>
    </w:p>
    <w:p>
      <w:pPr>
        <w:pStyle w:val="SourceCode"/>
      </w:pPr>
      <w:r>
        <w:rPr>
          <w:rStyle w:val="VerbatimChar"/>
        </w:rPr>
        <w:t xml:space="preserve">Warning: Removed 49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74" w:name="fig-imputation-diagnostics"/>
          <w:p>
            <w:pPr>
              <w:pStyle w:val="Compact"/>
              <w:jc w:val="center"/>
            </w:pPr>
            <w:r>
              <w:drawing>
                <wp:inline>
                  <wp:extent cx="4620126" cy="11088303"/>
                  <wp:effectExtent b="0" l="0" r="0" t="0"/>
                  <wp:docPr descr="" title="" id="72" name="Picture"/>
                  <a:graphic>
                    <a:graphicData uri="http://schemas.openxmlformats.org/drawingml/2006/picture">
                      <pic:pic>
                        <pic:nvPicPr>
                          <pic:cNvPr descr="manuscript_supplement_files/figure-docx/fig-imputation-diagnostics-1.png" id="73" name="Picture"/>
                          <pic:cNvPicPr>
                            <a:picLocks noChangeArrowheads="1" noChangeAspect="1"/>
                          </pic:cNvPicPr>
                        </pic:nvPicPr>
                        <pic:blipFill>
                          <a:blip r:embed="rId71"/>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74"/>
        </w:tc>
      </w:tr>
    </w:tbl>
    <w:bookmarkEnd w:id="75"/>
    <w:bookmarkEnd w:id="76"/>
    <w:bookmarkStart w:id="219"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47" w:name="mcmc-chain-convergence-and-resolution"/>
    <w:p>
      <w:pPr>
        <w:pStyle w:val="Heading3"/>
      </w:pPr>
      <w:r>
        <w:t xml:space="preserve">MCMC Chain Convergence and Resolution</w:t>
      </w:r>
    </w:p>
    <w:bookmarkStart w:id="81" w:name="neurosurgical-intervention"/>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80" w:name="tbl-neurosurgical-posterior-diag"/>
          <w:p>
            <w:pPr>
              <w:jc w:val="center"/>
            </w:pPr>
            <w:pPr>
              <w:jc w:val="left"/>
              <w:spacing w:before="200"/>
              <w:pStyle w:val="ImageCaption"/>
            </w:pPr>
            <w:r>
              <w:t xml:space="preserve">Table 10</w:t>
            </w:r>
          </w:p>
          <w:p>
            <w:pPr>
              <w:pStyle w:val="CaptionedFigure"/>
              <w:jc w:val="center"/>
            </w:pPr>
            <w:r>
              <w:drawing>
                <wp:inline>
                  <wp:extent cx="4620126" cy="9240252"/>
                  <wp:effectExtent b="0" l="0" r="0" t="0"/>
                  <wp:docPr descr="Posterior diagnostic checks for Neurosurgical Intervention" title="" id="78" name="Picture"/>
                  <a:graphic>
                    <a:graphicData uri="http://schemas.openxmlformats.org/drawingml/2006/picture">
                      <pic:pic>
                        <pic:nvPicPr>
                          <pic:cNvPr descr="manuscript_supplement_files/figure-docx/tbl-neurosurgical-posterior-diag-1.png" id="79" name="Picture"/>
                          <pic:cNvPicPr>
                            <a:picLocks noChangeArrowheads="1" noChangeAspect="1"/>
                          </pic:cNvPicPr>
                        </pic:nvPicPr>
                        <pic:blipFill>
                          <a:blip r:embed="rId7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Neurosurgical Intervention</w:t>
            </w:r>
          </w:p>
          <w:bookmarkEnd w:id="80"/>
        </w:tc>
      </w:tr>
    </w:tbl>
    <w:bookmarkEnd w:id="81"/>
    <w:bookmarkStart w:id="86" w:name="ventriculostomy"/>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85" w:name="tbl-evd-posterior-diag"/>
          <w:p>
            <w:pPr>
              <w:jc w:val="center"/>
            </w:pPr>
            <w:pPr>
              <w:jc w:val="left"/>
              <w:spacing w:before="200"/>
              <w:pStyle w:val="ImageCaption"/>
            </w:pPr>
            <w:r>
              <w:t xml:space="preserve">Table 11</w:t>
            </w:r>
          </w:p>
          <w:p>
            <w:pPr>
              <w:pStyle w:val="CaptionedFigure"/>
              <w:jc w:val="center"/>
            </w:pPr>
            <w:r>
              <w:drawing>
                <wp:inline>
                  <wp:extent cx="4620126" cy="9240252"/>
                  <wp:effectExtent b="0" l="0" r="0" t="0"/>
                  <wp:docPr descr="Posterior diagnostic checks for Ventriculostomy" title="" id="83" name="Picture"/>
                  <a:graphic>
                    <a:graphicData uri="http://schemas.openxmlformats.org/drawingml/2006/picture">
                      <pic:pic>
                        <pic:nvPicPr>
                          <pic:cNvPr descr="manuscript_supplement_files/figure-docx/tbl-evd-posterior-diag-1.png" id="84" name="Picture"/>
                          <pic:cNvPicPr>
                            <a:picLocks noChangeArrowheads="1" noChangeAspect="1"/>
                          </pic:cNvPicPr>
                        </pic:nvPicPr>
                        <pic:blipFill>
                          <a:blip r:embed="rId8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Ventriculostomy</w:t>
            </w:r>
          </w:p>
          <w:bookmarkEnd w:id="85"/>
        </w:tc>
      </w:tr>
    </w:tbl>
    <w:bookmarkEnd w:id="86"/>
    <w:bookmarkStart w:id="91" w:name="tracheostomy"/>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90" w:name="tbl-trach-posterior-diag"/>
          <w:p>
            <w:pPr>
              <w:jc w:val="center"/>
            </w:pPr>
            <w:pPr>
              <w:jc w:val="left"/>
              <w:spacing w:before="200"/>
              <w:pStyle w:val="ImageCaption"/>
            </w:pPr>
            <w:r>
              <w:t xml:space="preserve">Table 12</w:t>
            </w:r>
          </w:p>
          <w:p>
            <w:pPr>
              <w:pStyle w:val="CaptionedFigure"/>
              <w:jc w:val="center"/>
            </w:pPr>
            <w:r>
              <w:drawing>
                <wp:inline>
                  <wp:extent cx="4620126" cy="9240252"/>
                  <wp:effectExtent b="0" l="0" r="0" t="0"/>
                  <wp:docPr descr="Posterior diagnostic checks for Tracheostomy" title="" id="88" name="Picture"/>
                  <a:graphic>
                    <a:graphicData uri="http://schemas.openxmlformats.org/drawingml/2006/picture">
                      <pic:pic>
                        <pic:nvPicPr>
                          <pic:cNvPr descr="manuscript_supplement_files/figure-docx/tbl-trach-posterior-diag-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Tracheostomy</w:t>
            </w:r>
          </w:p>
          <w:bookmarkEnd w:id="90"/>
        </w:tc>
      </w:tr>
    </w:tbl>
    <w:bookmarkEnd w:id="91"/>
    <w:bookmarkStart w:id="96" w:name="days-of-mechanical-ventilation"/>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95" w:name="tbl-vent-posterior-diag"/>
          <w:p>
            <w:pPr>
              <w:jc w:val="center"/>
            </w:pPr>
            <w:pPr>
              <w:jc w:val="left"/>
              <w:spacing w:before="200"/>
              <w:pStyle w:val="ImageCaption"/>
            </w:pPr>
            <w:r>
              <w:t xml:space="preserve">Table 13</w:t>
            </w:r>
          </w:p>
          <w:p>
            <w:pPr>
              <w:pStyle w:val="CaptionedFigure"/>
              <w:jc w:val="center"/>
            </w:pPr>
            <w:r>
              <w:drawing>
                <wp:inline>
                  <wp:extent cx="4620126" cy="9240252"/>
                  <wp:effectExtent b="0" l="0" r="0" t="0"/>
                  <wp:docPr descr="Posterior diagnostic checks for Days of Mechanical Ventilation" title="" id="93" name="Picture"/>
                  <a:graphic>
                    <a:graphicData uri="http://schemas.openxmlformats.org/drawingml/2006/picture">
                      <pic:pic>
                        <pic:nvPicPr>
                          <pic:cNvPr descr="manuscript_supplement_files/figure-docx/tbl-vent-posterior-diag-1.png" id="94" name="Picture"/>
                          <pic:cNvPicPr>
                            <a:picLocks noChangeArrowheads="1" noChangeAspect="1"/>
                          </pic:cNvPicPr>
                        </pic:nvPicPr>
                        <pic:blipFill>
                          <a:blip r:embed="rId9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Days of Mechanical Ventilation</w:t>
            </w:r>
          </w:p>
          <w:bookmarkEnd w:id="95"/>
        </w:tc>
      </w:tr>
    </w:tbl>
    <w:bookmarkEnd w:id="96"/>
    <w:bookmarkStart w:id="101" w:name="comfort-care"/>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00" w:name="tbl-comfort-posterior-diag"/>
          <w:p>
            <w:pPr>
              <w:jc w:val="center"/>
            </w:pPr>
            <w:pPr>
              <w:jc w:val="left"/>
              <w:spacing w:before="200"/>
              <w:pStyle w:val="ImageCaption"/>
            </w:pPr>
            <w:r>
              <w:t xml:space="preserve">Table 14</w:t>
            </w:r>
          </w:p>
          <w:p>
            <w:pPr>
              <w:pStyle w:val="CaptionedFigure"/>
              <w:jc w:val="center"/>
            </w:pPr>
            <w:r>
              <w:drawing>
                <wp:inline>
                  <wp:extent cx="4620126" cy="9240252"/>
                  <wp:effectExtent b="0" l="0" r="0" t="0"/>
                  <wp:docPr descr="Posterior diagnostic checks for Comfort Care" title="" id="98" name="Picture"/>
                  <a:graphic>
                    <a:graphicData uri="http://schemas.openxmlformats.org/drawingml/2006/picture">
                      <pic:pic>
                        <pic:nvPicPr>
                          <pic:cNvPr descr="manuscript_supplement_files/figure-docx/tbl-comfort-posterior-diag-1.png" id="99" name="Picture"/>
                          <pic:cNvPicPr>
                            <a:picLocks noChangeArrowheads="1" noChangeAspect="1"/>
                          </pic:cNvPicPr>
                        </pic:nvPicPr>
                        <pic:blipFill>
                          <a:blip r:embed="rId9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Comfort Care</w:t>
            </w:r>
          </w:p>
          <w:bookmarkEnd w:id="100"/>
        </w:tc>
      </w:tr>
    </w:tbl>
    <w:bookmarkEnd w:id="101"/>
    <w:bookmarkStart w:id="106" w:name="early-wlst"/>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05" w:name="tbl-earlywlst-posterior-diag"/>
          <w:p>
            <w:pPr>
              <w:jc w:val="center"/>
            </w:pPr>
            <w:pPr>
              <w:jc w:val="left"/>
              <w:spacing w:before="200"/>
              <w:pStyle w:val="ImageCaption"/>
            </w:pPr>
            <w:r>
              <w:t xml:space="preserve">Table 15</w:t>
            </w:r>
          </w:p>
          <w:p>
            <w:pPr>
              <w:pStyle w:val="CaptionedFigure"/>
              <w:jc w:val="center"/>
            </w:pPr>
            <w:r>
              <w:drawing>
                <wp:inline>
                  <wp:extent cx="4620126" cy="9240252"/>
                  <wp:effectExtent b="0" l="0" r="0" t="0"/>
                  <wp:docPr descr="Posterior diagnostic checks for Early WLST" title="" id="103" name="Picture"/>
                  <a:graphic>
                    <a:graphicData uri="http://schemas.openxmlformats.org/drawingml/2006/picture">
                      <pic:pic>
                        <pic:nvPicPr>
                          <pic:cNvPr descr="manuscript_supplement_files/figure-docx/tbl-earlywlst-posterior-diag-1.png" id="104" name="Picture"/>
                          <pic:cNvPicPr>
                            <a:picLocks noChangeArrowheads="1" noChangeAspect="1"/>
                          </pic:cNvPicPr>
                        </pic:nvPicPr>
                        <pic:blipFill>
                          <a:blip r:embed="rId10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Early WLST</w:t>
            </w:r>
          </w:p>
          <w:bookmarkEnd w:id="105"/>
        </w:tc>
      </w:tr>
    </w:tbl>
    <w:bookmarkEnd w:id="106"/>
    <w:bookmarkStart w:id="111" w:name="dnr"/>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10" w:name="tbl-dnr-posterior-diag"/>
          <w:p>
            <w:pPr>
              <w:jc w:val="center"/>
            </w:pPr>
            <w:pPr>
              <w:jc w:val="left"/>
              <w:spacing w:before="200"/>
              <w:pStyle w:val="ImageCaption"/>
            </w:pPr>
            <w:r>
              <w:t xml:space="preserve">Table 16</w:t>
            </w:r>
          </w:p>
          <w:p>
            <w:pPr>
              <w:pStyle w:val="CaptionedFigure"/>
              <w:jc w:val="center"/>
            </w:pPr>
            <w:r>
              <w:drawing>
                <wp:inline>
                  <wp:extent cx="4620126" cy="9240252"/>
                  <wp:effectExtent b="0" l="0" r="0" t="0"/>
                  <wp:docPr descr="Posterior diagnostic checks for DNR" title="" id="108" name="Picture"/>
                  <a:graphic>
                    <a:graphicData uri="http://schemas.openxmlformats.org/drawingml/2006/picture">
                      <pic:pic>
                        <pic:nvPicPr>
                          <pic:cNvPr descr="manuscript_supplement_files/figure-docx/tbl-dnr-posterior-diag-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DNR</w:t>
            </w:r>
          </w:p>
          <w:bookmarkEnd w:id="110"/>
        </w:tc>
      </w:tr>
    </w:tbl>
    <w:bookmarkEnd w:id="111"/>
    <w:bookmarkStart w:id="116" w:name="mrs-90"/>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15" w:name="tbl-mrs90-posterior-diag"/>
          <w:p>
            <w:pPr>
              <w:jc w:val="center"/>
            </w:pPr>
            <w:pPr>
              <w:jc w:val="left"/>
              <w:spacing w:before="200"/>
              <w:pStyle w:val="ImageCaption"/>
            </w:pPr>
            <w:r>
              <w:t xml:space="preserve">Table 17</w:t>
            </w:r>
          </w:p>
          <w:p>
            <w:pPr>
              <w:pStyle w:val="CaptionedFigure"/>
              <w:jc w:val="center"/>
            </w:pPr>
            <w:r>
              <w:drawing>
                <wp:inline>
                  <wp:extent cx="4620126" cy="9240252"/>
                  <wp:effectExtent b="0" l="0" r="0" t="0"/>
                  <wp:docPr descr="Posterior diagnostic checks for Modified Rankin Score at 90 Days" title="" id="113" name="Picture"/>
                  <a:graphic>
                    <a:graphicData uri="http://schemas.openxmlformats.org/drawingml/2006/picture">
                      <pic:pic>
                        <pic:nvPicPr>
                          <pic:cNvPr descr="manuscript_supplement_files/figure-docx/tbl-mrs90-posterior-diag-1.png" id="114" name="Picture"/>
                          <pic:cNvPicPr>
                            <a:picLocks noChangeArrowheads="1" noChangeAspect="1"/>
                          </pic:cNvPicPr>
                        </pic:nvPicPr>
                        <pic:blipFill>
                          <a:blip r:embed="rId11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Modified Rankin Score at 90 Days</w:t>
            </w:r>
          </w:p>
          <w:bookmarkEnd w:id="115"/>
        </w:tc>
      </w:tr>
    </w:tbl>
    <w:bookmarkEnd w:id="116"/>
    <w:bookmarkStart w:id="121" w:name="euroqol-mobility-90"/>
    <w:p>
      <w:pPr>
        <w:pStyle w:val="Heading4"/>
      </w:pPr>
      <w:r>
        <w:t xml:space="preserve">EuroQOL Mobility 90</w:t>
      </w:r>
    </w:p>
    <w:tbl>
      <w:tblPr>
        <w:tblStyle w:val="Table"/>
        <w:tblW w:type="pct" w:w="5000"/>
        <w:tblLayout w:type="fixed"/>
        <w:tblLook w:firstRow="0" w:lastRow="0" w:firstColumn="0" w:lastColumn="0" w:noHBand="0" w:noVBand="0" w:val="0000"/>
      </w:tblPr>
      <w:tblGrid>
        <w:gridCol w:w="7920"/>
      </w:tblGrid>
      <w:tr>
        <w:tc>
          <w:tcPr/>
          <w:bookmarkStart w:id="120" w:name="tbl-euro-mobility-posterior-diag"/>
          <w:p>
            <w:pPr>
              <w:jc w:val="center"/>
            </w:pPr>
            <w:pPr>
              <w:jc w:val="left"/>
              <w:spacing w:before="200"/>
              <w:pStyle w:val="ImageCaption"/>
            </w:pPr>
            <w:r>
              <w:t xml:space="preserve">Table 18</w:t>
            </w:r>
          </w:p>
          <w:p>
            <w:pPr>
              <w:pStyle w:val="CaptionedFigure"/>
              <w:jc w:val="center"/>
            </w:pPr>
            <w:r>
              <w:drawing>
                <wp:inline>
                  <wp:extent cx="4620126" cy="9240252"/>
                  <wp:effectExtent b="0" l="0" r="0" t="0"/>
                  <wp:docPr descr="Posterior diagnostic checks for EuroQOL — Mobility at 90 Days" title="" id="118" name="Picture"/>
                  <a:graphic>
                    <a:graphicData uri="http://schemas.openxmlformats.org/drawingml/2006/picture">
                      <pic:pic>
                        <pic:nvPicPr>
                          <pic:cNvPr descr="manuscript_supplement_files/figure-docx/tbl-euro-mobility-posterior-diag-1.png" id="119" name="Picture"/>
                          <pic:cNvPicPr>
                            <a:picLocks noChangeArrowheads="1" noChangeAspect="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Mobility at 90 Days</w:t>
            </w:r>
          </w:p>
          <w:bookmarkEnd w:id="120"/>
        </w:tc>
      </w:tr>
    </w:tbl>
    <w:bookmarkEnd w:id="121"/>
    <w:bookmarkStart w:id="126" w:name="euroqol-self-care-90"/>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25" w:name="tbl-euro-selfcare-posterior-diag"/>
          <w:p>
            <w:pPr>
              <w:jc w:val="center"/>
            </w:pPr>
            <w:pPr>
              <w:jc w:val="left"/>
              <w:spacing w:before="200"/>
              <w:pStyle w:val="ImageCaption"/>
            </w:pPr>
            <w:r>
              <w:t xml:space="preserve">Table 19</w:t>
            </w:r>
          </w:p>
          <w:p>
            <w:pPr>
              <w:pStyle w:val="CaptionedFigure"/>
              <w:jc w:val="center"/>
            </w:pPr>
            <w:r>
              <w:drawing>
                <wp:inline>
                  <wp:extent cx="4620126" cy="9240252"/>
                  <wp:effectExtent b="0" l="0" r="0" t="0"/>
                  <wp:docPr descr="Posterior diagnostic checks for EuroQOL — Self-Care at 90 Days" title="" id="123" name="Picture"/>
                  <a:graphic>
                    <a:graphicData uri="http://schemas.openxmlformats.org/drawingml/2006/picture">
                      <pic:pic>
                        <pic:nvPicPr>
                          <pic:cNvPr descr="manuscript_supplement_files/figure-docx/tbl-euro-selfcare-posterior-diag-1.png" id="124" name="Picture"/>
                          <pic:cNvPicPr>
                            <a:picLocks noChangeArrowheads="1" noChangeAspect="1"/>
                          </pic:cNvPicPr>
                        </pic:nvPicPr>
                        <pic:blipFill>
                          <a:blip r:embed="rId12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Self-Care at 90 Days</w:t>
            </w:r>
          </w:p>
          <w:bookmarkEnd w:id="125"/>
        </w:tc>
      </w:tr>
    </w:tbl>
    <w:bookmarkEnd w:id="126"/>
    <w:bookmarkStart w:id="131" w:name="euroqol-usual-activities-90"/>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30" w:name="tbl-euro-usual-posterior-diag"/>
          <w:p>
            <w:pPr>
              <w:jc w:val="center"/>
            </w:pPr>
            <w:pPr>
              <w:jc w:val="left"/>
              <w:spacing w:before="200"/>
              <w:pStyle w:val="ImageCaption"/>
            </w:pPr>
            <w:r>
              <w:t xml:space="preserve">Table 20</w:t>
            </w:r>
          </w:p>
          <w:p>
            <w:pPr>
              <w:pStyle w:val="CaptionedFigure"/>
              <w:jc w:val="center"/>
            </w:pPr>
            <w:r>
              <w:drawing>
                <wp:inline>
                  <wp:extent cx="4620126" cy="9240252"/>
                  <wp:effectExtent b="0" l="0" r="0" t="0"/>
                  <wp:docPr descr="Posterior diagnostic checks for EuroQOL — Usual Activities at 90 Days" title="" id="128" name="Picture"/>
                  <a:graphic>
                    <a:graphicData uri="http://schemas.openxmlformats.org/drawingml/2006/picture">
                      <pic:pic>
                        <pic:nvPicPr>
                          <pic:cNvPr descr="manuscript_supplement_files/figure-docx/tbl-euro-usual-posterior-diag-1.png" id="129" name="Picture"/>
                          <pic:cNvPicPr>
                            <a:picLocks noChangeArrowheads="1" noChangeAspect="1"/>
                          </pic:cNvPicPr>
                        </pic:nvPicPr>
                        <pic:blipFill>
                          <a:blip r:embed="rId12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Usual Activities at 90 Days</w:t>
            </w:r>
          </w:p>
          <w:bookmarkEnd w:id="130"/>
        </w:tc>
      </w:tr>
    </w:tbl>
    <w:bookmarkEnd w:id="131"/>
    <w:bookmarkStart w:id="136" w:name="euroqol-paindiscomfort-90"/>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135" w:name="tbl-euro-pain-posterior-diag"/>
          <w:p>
            <w:pPr>
              <w:jc w:val="center"/>
            </w:pPr>
            <w:pPr>
              <w:jc w:val="left"/>
              <w:spacing w:before="200"/>
              <w:pStyle w:val="ImageCaption"/>
            </w:pPr>
            <w:r>
              <w:t xml:space="preserve">Table 21</w:t>
            </w:r>
          </w:p>
          <w:p>
            <w:pPr>
              <w:pStyle w:val="CaptionedFigure"/>
              <w:jc w:val="center"/>
            </w:pPr>
            <w:r>
              <w:drawing>
                <wp:inline>
                  <wp:extent cx="4620126" cy="9240252"/>
                  <wp:effectExtent b="0" l="0" r="0" t="0"/>
                  <wp:docPr descr="Posterior diagnostic checks for EuroQOL — Pain/Discomfort at 90 Days" title="" id="133" name="Picture"/>
                  <a:graphic>
                    <a:graphicData uri="http://schemas.openxmlformats.org/drawingml/2006/picture">
                      <pic:pic>
                        <pic:nvPicPr>
                          <pic:cNvPr descr="manuscript_supplement_files/figure-docx/tbl-euro-pain-posterior-diag-1.png" id="134" name="Picture"/>
                          <pic:cNvPicPr>
                            <a:picLocks noChangeArrowheads="1" noChangeAspect="1"/>
                          </pic:cNvPicPr>
                        </pic:nvPicPr>
                        <pic:blipFill>
                          <a:blip r:embed="rId1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Pain/Discomfort at 90 Days</w:t>
            </w:r>
          </w:p>
          <w:bookmarkEnd w:id="135"/>
        </w:tc>
      </w:tr>
    </w:tbl>
    <w:bookmarkEnd w:id="136"/>
    <w:bookmarkStart w:id="141" w:name="euroqol-anxietydepression-90"/>
    <w:p>
      <w:pPr>
        <w:pStyle w:val="Heading4"/>
      </w:pPr>
      <w:r>
        <w:t xml:space="preserve">EuroQOL Anxiety/Depression 90</w:t>
      </w:r>
    </w:p>
    <w:tbl>
      <w:tblPr>
        <w:tblStyle w:val="Table"/>
        <w:tblW w:type="pct" w:w="5000"/>
        <w:tblLayout w:type="fixed"/>
        <w:tblLook w:firstRow="0" w:lastRow="0" w:firstColumn="0" w:lastColumn="0" w:noHBand="0" w:noVBand="0" w:val="0000"/>
      </w:tblPr>
      <w:tblGrid>
        <w:gridCol w:w="7920"/>
      </w:tblGrid>
      <w:tr>
        <w:tc>
          <w:tcPr/>
          <w:bookmarkStart w:id="140" w:name="tbl-euro-anxiety-posterior-diag"/>
          <w:p>
            <w:pPr>
              <w:jc w:val="center"/>
            </w:pPr>
            <w:pPr>
              <w:jc w:val="left"/>
              <w:spacing w:before="200"/>
              <w:pStyle w:val="ImageCaption"/>
            </w:pPr>
            <w:r>
              <w:t xml:space="preserve">Table 22</w:t>
            </w:r>
          </w:p>
          <w:p>
            <w:pPr>
              <w:pStyle w:val="CaptionedFigure"/>
              <w:jc w:val="center"/>
            </w:pPr>
            <w:r>
              <w:drawing>
                <wp:inline>
                  <wp:extent cx="4620126" cy="9240252"/>
                  <wp:effectExtent b="0" l="0" r="0" t="0"/>
                  <wp:docPr descr="Posterior diagnostic checks for EuroQOL — Anxiety/Depression at 90 Days" title="" id="138" name="Picture"/>
                  <a:graphic>
                    <a:graphicData uri="http://schemas.openxmlformats.org/drawingml/2006/picture">
                      <pic:pic>
                        <pic:nvPicPr>
                          <pic:cNvPr descr="manuscript_supplement_files/figure-docx/tbl-euro-anxiety-posterior-diag-1.png" id="139" name="Picture"/>
                          <pic:cNvPicPr>
                            <a:picLocks noChangeArrowheads="1" noChangeAspect="1"/>
                          </pic:cNvPicPr>
                        </pic:nvPicPr>
                        <pic:blipFill>
                          <a:blip r:embed="rId13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Anxiety/Depression at 90 Days</w:t>
            </w:r>
          </w:p>
          <w:bookmarkEnd w:id="140"/>
        </w:tc>
      </w:tr>
    </w:tbl>
    <w:bookmarkEnd w:id="141"/>
    <w:bookmarkStart w:id="146" w:name="euroqol-vas-90"/>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145" w:name="tbl-euro-vas-posterior-diag"/>
          <w:p>
            <w:pPr>
              <w:jc w:val="center"/>
            </w:pPr>
            <w:pPr>
              <w:jc w:val="left"/>
              <w:spacing w:before="200"/>
              <w:pStyle w:val="ImageCaption"/>
            </w:pPr>
            <w:r>
              <w:t xml:space="preserve">Table 23</w:t>
            </w:r>
          </w:p>
          <w:p>
            <w:pPr>
              <w:pStyle w:val="CaptionedFigure"/>
              <w:jc w:val="center"/>
            </w:pPr>
            <w:r>
              <w:drawing>
                <wp:inline>
                  <wp:extent cx="4620126" cy="9240252"/>
                  <wp:effectExtent b="0" l="0" r="0" t="0"/>
                  <wp:docPr descr="Posterior diagnostic checks for EuroQOL — VAS at 90 Days" title="" id="143" name="Picture"/>
                  <a:graphic>
                    <a:graphicData uri="http://schemas.openxmlformats.org/drawingml/2006/picture">
                      <pic:pic>
                        <pic:nvPicPr>
                          <pic:cNvPr descr="manuscript_supplement_files/figure-docx/tbl-euro-vas-posterior-diag-1.png" id="144" name="Picture"/>
                          <pic:cNvPicPr>
                            <a:picLocks noChangeArrowheads="1" noChangeAspect="1"/>
                          </pic:cNvPicPr>
                        </pic:nvPicPr>
                        <pic:blipFill>
                          <a:blip r:embed="rId14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VAS at 90 Days</w:t>
            </w:r>
          </w:p>
          <w:bookmarkEnd w:id="145"/>
        </w:tc>
      </w:tr>
    </w:tbl>
    <w:bookmarkEnd w:id="146"/>
    <w:bookmarkEnd w:id="147"/>
    <w:bookmarkStart w:id="218" w:name="posterior-predictive-checks"/>
    <w:p>
      <w:pPr>
        <w:pStyle w:val="Heading3"/>
      </w:pPr>
      <w:r>
        <w:t xml:space="preserve">Posterior predictive checks</w:t>
      </w:r>
    </w:p>
    <w:bookmarkStart w:id="152" w:name="neurosurgical-intervention-1"/>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151" w:name="tbl-neurosurgery-posterior-checks"/>
          <w:p>
            <w:pPr>
              <w:jc w:val="center"/>
            </w:pPr>
            <w:pPr>
              <w:jc w:val="left"/>
              <w:spacing w:before="200"/>
              <w:pStyle w:val="ImageCaption"/>
            </w:pPr>
            <w:r>
              <w:t xml:space="preserve">Table 24</w:t>
            </w:r>
          </w:p>
          <w:p>
            <w:pPr>
              <w:pStyle w:val="CaptionedFigure"/>
              <w:jc w:val="center"/>
            </w:pPr>
            <w:r>
              <w:drawing>
                <wp:inline>
                  <wp:extent cx="4620126" cy="3696101"/>
                  <wp:effectExtent b="0" l="0" r="0" t="0"/>
                  <wp:docPr descr="Posterior predictive checks for Neurosurgical Intervention" title="" id="149" name="Picture"/>
                  <a:graphic>
                    <a:graphicData uri="http://schemas.openxmlformats.org/drawingml/2006/picture">
                      <pic:pic>
                        <pic:nvPicPr>
                          <pic:cNvPr descr="manuscript_supplement_files/figure-docx/tbl-neurosurgery-posterior-checks-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Neurosurgical Intervention</w:t>
            </w:r>
          </w:p>
          <w:bookmarkEnd w:id="151"/>
        </w:tc>
      </w:tr>
    </w:tbl>
    <w:bookmarkEnd w:id="152"/>
    <w:bookmarkStart w:id="157" w:name="ventriculostomy-1"/>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156" w:name="tbl-evd-posterior-checks"/>
          <w:p>
            <w:pPr>
              <w:jc w:val="center"/>
            </w:pPr>
            <w:pPr>
              <w:jc w:val="left"/>
              <w:spacing w:before="200"/>
              <w:pStyle w:val="ImageCaption"/>
            </w:pPr>
            <w:r>
              <w:t xml:space="preserve">Table 25</w:t>
            </w:r>
          </w:p>
          <w:p>
            <w:pPr>
              <w:pStyle w:val="CaptionedFigure"/>
              <w:jc w:val="center"/>
            </w:pPr>
            <w:r>
              <w:drawing>
                <wp:inline>
                  <wp:extent cx="4620126" cy="3696101"/>
                  <wp:effectExtent b="0" l="0" r="0" t="0"/>
                  <wp:docPr descr="Posterior predictive checks for Ventriculostomy" title="" id="154" name="Picture"/>
                  <a:graphic>
                    <a:graphicData uri="http://schemas.openxmlformats.org/drawingml/2006/picture">
                      <pic:pic>
                        <pic:nvPicPr>
                          <pic:cNvPr descr="manuscript_supplement_files/figure-docx/tbl-evd-posterior-check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Ventriculostomy</w:t>
            </w:r>
          </w:p>
          <w:bookmarkEnd w:id="156"/>
        </w:tc>
      </w:tr>
    </w:tbl>
    <w:bookmarkEnd w:id="157"/>
    <w:bookmarkStart w:id="162" w:name="tracheostomy-1"/>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161" w:name="tbl-trach-posterior-checks"/>
          <w:p>
            <w:pPr>
              <w:jc w:val="center"/>
            </w:pPr>
            <w:pPr>
              <w:jc w:val="left"/>
              <w:spacing w:before="200"/>
              <w:pStyle w:val="ImageCaption"/>
            </w:pPr>
            <w:r>
              <w:t xml:space="preserve">Table 26</w:t>
            </w:r>
          </w:p>
          <w:p>
            <w:pPr>
              <w:pStyle w:val="CaptionedFigure"/>
              <w:jc w:val="center"/>
            </w:pPr>
            <w:r>
              <w:drawing>
                <wp:inline>
                  <wp:extent cx="4620126" cy="3696101"/>
                  <wp:effectExtent b="0" l="0" r="0" t="0"/>
                  <wp:docPr descr="Posterior predictive checks for Tracheostomy" title="" id="159" name="Picture"/>
                  <a:graphic>
                    <a:graphicData uri="http://schemas.openxmlformats.org/drawingml/2006/picture">
                      <pic:pic>
                        <pic:nvPicPr>
                          <pic:cNvPr descr="manuscript_supplement_files/figure-docx/tbl-trach-posterior-checks-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Tracheostomy</w:t>
            </w:r>
          </w:p>
          <w:bookmarkEnd w:id="161"/>
        </w:tc>
      </w:tr>
    </w:tbl>
    <w:bookmarkEnd w:id="162"/>
    <w:bookmarkStart w:id="167" w:name="days-of-mechanical-ventilation-1"/>
    <w:p>
      <w:pPr>
        <w:pStyle w:val="Heading4"/>
      </w:pPr>
      <w:r>
        <w:t xml:space="preserve">Days of Mechanical Ventilation</w:t>
      </w:r>
    </w:p>
    <w:p>
      <w:pPr>
        <w:pStyle w:val="SourceCode"/>
      </w:pPr>
      <w:r>
        <w:rPr>
          <w:rStyle w:val="VerbatimChar"/>
        </w:rPr>
        <w:t xml:space="preserve">`stat_bin()` using `bins = 30`. Pick better value `binwidth`.</w:t>
      </w:r>
    </w:p>
    <w:tbl>
      <w:tblPr>
        <w:tblStyle w:val="Table"/>
        <w:tblW w:type="pct" w:w="5000"/>
        <w:tblLayout w:type="fixed"/>
        <w:tblLook w:firstRow="0" w:lastRow="0" w:firstColumn="0" w:lastColumn="0" w:noHBand="0" w:noVBand="0" w:val="0000"/>
      </w:tblPr>
      <w:tblGrid>
        <w:gridCol w:w="7920"/>
      </w:tblGrid>
      <w:tr>
        <w:tc>
          <w:tcPr/>
          <w:bookmarkStart w:id="166" w:name="tbl-vent-posterior-checks"/>
          <w:p>
            <w:pPr>
              <w:jc w:val="center"/>
            </w:pPr>
            <w:pPr>
              <w:jc w:val="left"/>
              <w:spacing w:before="200"/>
              <w:pStyle w:val="ImageCaption"/>
            </w:pPr>
            <w:r>
              <w:t xml:space="preserve">Table 27</w:t>
            </w:r>
          </w:p>
          <w:p>
            <w:pPr>
              <w:pStyle w:val="CaptionedFigure"/>
              <w:jc w:val="center"/>
            </w:pPr>
            <w:r>
              <w:drawing>
                <wp:inline>
                  <wp:extent cx="4620126" cy="3696101"/>
                  <wp:effectExtent b="0" l="0" r="0" t="0"/>
                  <wp:docPr descr="Posterior predictive checks for Days of Mechanical Ventilation" title="" id="164" name="Picture"/>
                  <a:graphic>
                    <a:graphicData uri="http://schemas.openxmlformats.org/drawingml/2006/picture">
                      <pic:pic>
                        <pic:nvPicPr>
                          <pic:cNvPr descr="manuscript_supplement_files/figure-docx/tbl-vent-posterior-checks-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Days of Mechanical Ventilation</w:t>
            </w:r>
          </w:p>
          <w:bookmarkEnd w:id="166"/>
        </w:tc>
      </w:tr>
    </w:tbl>
    <w:bookmarkEnd w:id="167"/>
    <w:bookmarkStart w:id="172" w:name="comfort-care-1"/>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71" w:name="tbl-comfort-posterior-checks"/>
          <w:p>
            <w:pPr>
              <w:jc w:val="center"/>
            </w:pPr>
            <w:pPr>
              <w:jc w:val="left"/>
              <w:spacing w:before="200"/>
              <w:pStyle w:val="ImageCaption"/>
            </w:pPr>
            <w:r>
              <w:t xml:space="preserve">Table 28</w:t>
            </w:r>
          </w:p>
          <w:p>
            <w:pPr>
              <w:pStyle w:val="CaptionedFigure"/>
              <w:jc w:val="center"/>
            </w:pPr>
            <w:r>
              <w:drawing>
                <wp:inline>
                  <wp:extent cx="4620126" cy="3696101"/>
                  <wp:effectExtent b="0" l="0" r="0" t="0"/>
                  <wp:docPr descr="Posterior predictive checks for Comfort Care" title="" id="169" name="Picture"/>
                  <a:graphic>
                    <a:graphicData uri="http://schemas.openxmlformats.org/drawingml/2006/picture">
                      <pic:pic>
                        <pic:nvPicPr>
                          <pic:cNvPr descr="manuscript_supplement_files/figure-docx/tbl-comfort-posterior-checks-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Comfort Care</w:t>
            </w:r>
          </w:p>
          <w:bookmarkEnd w:id="171"/>
        </w:tc>
      </w:tr>
    </w:tbl>
    <w:bookmarkEnd w:id="172"/>
    <w:bookmarkStart w:id="177" w:name="early-wlst-1"/>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76" w:name="tbl-earlywlst-posterior-checks"/>
          <w:p>
            <w:pPr>
              <w:jc w:val="center"/>
            </w:pPr>
            <w:pPr>
              <w:jc w:val="left"/>
              <w:spacing w:before="200"/>
              <w:pStyle w:val="ImageCaption"/>
            </w:pPr>
            <w:r>
              <w:t xml:space="preserve">Table 29</w:t>
            </w:r>
          </w:p>
          <w:p>
            <w:pPr>
              <w:pStyle w:val="CaptionedFigure"/>
              <w:jc w:val="center"/>
            </w:pPr>
            <w:r>
              <w:drawing>
                <wp:inline>
                  <wp:extent cx="4620126" cy="3696101"/>
                  <wp:effectExtent b="0" l="0" r="0" t="0"/>
                  <wp:docPr descr="Posterior predictive checks for Early WLST" title="" id="174" name="Picture"/>
                  <a:graphic>
                    <a:graphicData uri="http://schemas.openxmlformats.org/drawingml/2006/picture">
                      <pic:pic>
                        <pic:nvPicPr>
                          <pic:cNvPr descr="manuscript_supplement_files/figure-docx/tbl-earlywlst-posterior-checks-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Early WLST</w:t>
            </w:r>
          </w:p>
          <w:bookmarkEnd w:id="176"/>
        </w:tc>
      </w:tr>
    </w:tbl>
    <w:bookmarkEnd w:id="177"/>
    <w:bookmarkStart w:id="182" w:name="dnr-1"/>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81" w:name="tbl-dnr-posterior-checks"/>
          <w:p>
            <w:pPr>
              <w:jc w:val="center"/>
            </w:pPr>
            <w:pPr>
              <w:jc w:val="left"/>
              <w:spacing w:before="200"/>
              <w:pStyle w:val="ImageCaption"/>
            </w:pPr>
            <w:r>
              <w:t xml:space="preserve">Table 30</w:t>
            </w:r>
          </w:p>
          <w:p>
            <w:pPr>
              <w:pStyle w:val="CaptionedFigure"/>
              <w:jc w:val="center"/>
            </w:pPr>
            <w:r>
              <w:drawing>
                <wp:inline>
                  <wp:extent cx="4620126" cy="3696101"/>
                  <wp:effectExtent b="0" l="0" r="0" t="0"/>
                  <wp:docPr descr="Posterior predictive checks for DNR" title="" id="179" name="Picture"/>
                  <a:graphic>
                    <a:graphicData uri="http://schemas.openxmlformats.org/drawingml/2006/picture">
                      <pic:pic>
                        <pic:nvPicPr>
                          <pic:cNvPr descr="manuscript_supplement_files/figure-docx/tbl-dnr-posterior-checks-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DNR</w:t>
            </w:r>
          </w:p>
          <w:bookmarkEnd w:id="181"/>
        </w:tc>
      </w:tr>
    </w:tbl>
    <w:bookmarkEnd w:id="182"/>
    <w:bookmarkStart w:id="187" w:name="mrs-90-1"/>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86" w:name="tbl-mrs90-posterior-checks"/>
          <w:p>
            <w:pPr>
              <w:jc w:val="center"/>
            </w:pPr>
            <w:pPr>
              <w:jc w:val="left"/>
              <w:spacing w:before="200"/>
              <w:pStyle w:val="ImageCaption"/>
            </w:pPr>
            <w:r>
              <w:t xml:space="preserve">Table 31</w:t>
            </w:r>
          </w:p>
          <w:p>
            <w:pPr>
              <w:pStyle w:val="CaptionedFigure"/>
              <w:jc w:val="center"/>
            </w:pPr>
            <w:r>
              <w:drawing>
                <wp:inline>
                  <wp:extent cx="4620126" cy="3696101"/>
                  <wp:effectExtent b="0" l="0" r="0" t="0"/>
                  <wp:docPr descr="Posterior predictive checks for Modified Rankin Score at 90 Days" title="" id="184" name="Picture"/>
                  <a:graphic>
                    <a:graphicData uri="http://schemas.openxmlformats.org/drawingml/2006/picture">
                      <pic:pic>
                        <pic:nvPicPr>
                          <pic:cNvPr descr="manuscript_supplement_files/figure-docx/tbl-mrs90-posterior-checks-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Modified Rankin Score at 90 Days</w:t>
            </w:r>
          </w:p>
          <w:bookmarkEnd w:id="186"/>
        </w:tc>
      </w:tr>
    </w:tbl>
    <w:bookmarkEnd w:id="187"/>
    <w:bookmarkStart w:id="192" w:name="euroqol-moblity-90"/>
    <w:p>
      <w:pPr>
        <w:pStyle w:val="Heading4"/>
      </w:pPr>
      <w:r>
        <w:t xml:space="preserve">EuroQOL Moblity 90</w:t>
      </w:r>
    </w:p>
    <w:tbl>
      <w:tblPr>
        <w:tblStyle w:val="Table"/>
        <w:tblW w:type="pct" w:w="5000"/>
        <w:tblLayout w:type="fixed"/>
        <w:tblLook w:firstRow="0" w:lastRow="0" w:firstColumn="0" w:lastColumn="0" w:noHBand="0" w:noVBand="0" w:val="0000"/>
      </w:tblPr>
      <w:tblGrid>
        <w:gridCol w:w="7920"/>
      </w:tblGrid>
      <w:tr>
        <w:tc>
          <w:tcPr/>
          <w:bookmarkStart w:id="191" w:name="tbl-euro-mobility-checks"/>
          <w:p>
            <w:pPr>
              <w:jc w:val="center"/>
            </w:pPr>
            <w:pPr>
              <w:jc w:val="left"/>
              <w:spacing w:before="200"/>
              <w:pStyle w:val="ImageCaption"/>
            </w:pPr>
            <w:r>
              <w:t xml:space="preserve">Table 32</w:t>
            </w:r>
          </w:p>
          <w:p>
            <w:pPr>
              <w:pStyle w:val="CaptionedFigure"/>
              <w:jc w:val="center"/>
            </w:pPr>
            <w:r>
              <w:drawing>
                <wp:inline>
                  <wp:extent cx="4620126" cy="3696101"/>
                  <wp:effectExtent b="0" l="0" r="0" t="0"/>
                  <wp:docPr descr="Posterior predictive checks for EuroQOL — Mobility at 90 Days" title="" id="189" name="Picture"/>
                  <a:graphic>
                    <a:graphicData uri="http://schemas.openxmlformats.org/drawingml/2006/picture">
                      <pic:pic>
                        <pic:nvPicPr>
                          <pic:cNvPr descr="manuscript_supplement_files/figure-docx/tbl-euro-mobility-checks-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Mobility at 90 Days</w:t>
            </w:r>
          </w:p>
          <w:bookmarkEnd w:id="191"/>
        </w:tc>
      </w:tr>
    </w:tbl>
    <w:bookmarkEnd w:id="192"/>
    <w:bookmarkStart w:id="197" w:name="euroqol-self-care-90-1"/>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96" w:name="tbl-euro-selfcare-checks"/>
          <w:p>
            <w:pPr>
              <w:jc w:val="center"/>
            </w:pPr>
            <w:pPr>
              <w:jc w:val="left"/>
              <w:spacing w:before="200"/>
              <w:pStyle w:val="ImageCaption"/>
            </w:pPr>
            <w:r>
              <w:t xml:space="preserve">Table 33</w:t>
            </w:r>
          </w:p>
          <w:p>
            <w:pPr>
              <w:pStyle w:val="CaptionedFigure"/>
              <w:jc w:val="center"/>
            </w:pPr>
            <w:r>
              <w:drawing>
                <wp:inline>
                  <wp:extent cx="4620126" cy="3696101"/>
                  <wp:effectExtent b="0" l="0" r="0" t="0"/>
                  <wp:docPr descr="Posterior predictive checks for EuroQOL — Self-Care at 90 Days" title="" id="194" name="Picture"/>
                  <a:graphic>
                    <a:graphicData uri="http://schemas.openxmlformats.org/drawingml/2006/picture">
                      <pic:pic>
                        <pic:nvPicPr>
                          <pic:cNvPr descr="manuscript_supplement_files/figure-docx/tbl-euro-selfcare-checks-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Self-Care at 90 Days</w:t>
            </w:r>
          </w:p>
          <w:bookmarkEnd w:id="196"/>
        </w:tc>
      </w:tr>
    </w:tbl>
    <w:bookmarkEnd w:id="197"/>
    <w:bookmarkStart w:id="202" w:name="euroqol-usual-activities-90-1"/>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201" w:name="tbl-euro-usual-checks"/>
          <w:p>
            <w:pPr>
              <w:jc w:val="center"/>
            </w:pPr>
            <w:pPr>
              <w:jc w:val="left"/>
              <w:spacing w:before="200"/>
              <w:pStyle w:val="ImageCaption"/>
            </w:pPr>
            <w:r>
              <w:t xml:space="preserve">Table 34</w:t>
            </w:r>
          </w:p>
          <w:p>
            <w:pPr>
              <w:pStyle w:val="CaptionedFigure"/>
              <w:jc w:val="center"/>
            </w:pPr>
            <w:r>
              <w:drawing>
                <wp:inline>
                  <wp:extent cx="4620126" cy="3696101"/>
                  <wp:effectExtent b="0" l="0" r="0" t="0"/>
                  <wp:docPr descr="Posterior predictive checks for EuroQOL — Usual Activities at 90 Days" title="" id="199" name="Picture"/>
                  <a:graphic>
                    <a:graphicData uri="http://schemas.openxmlformats.org/drawingml/2006/picture">
                      <pic:pic>
                        <pic:nvPicPr>
                          <pic:cNvPr descr="manuscript_supplement_files/figure-docx/tbl-euro-usual-checks-1.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Usual Activities at 90 Days</w:t>
            </w:r>
          </w:p>
          <w:bookmarkEnd w:id="201"/>
        </w:tc>
      </w:tr>
    </w:tbl>
    <w:bookmarkEnd w:id="202"/>
    <w:bookmarkStart w:id="207" w:name="euroqol-paindiscomfort-90-1"/>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206" w:name="tbl-euro-pain-checks"/>
          <w:p>
            <w:pPr>
              <w:jc w:val="center"/>
            </w:pPr>
            <w:pPr>
              <w:jc w:val="left"/>
              <w:spacing w:before="200"/>
              <w:pStyle w:val="ImageCaption"/>
            </w:pPr>
            <w:r>
              <w:t xml:space="preserve">Table 35</w:t>
            </w:r>
          </w:p>
          <w:p>
            <w:pPr>
              <w:pStyle w:val="CaptionedFigure"/>
              <w:jc w:val="center"/>
            </w:pPr>
            <w:r>
              <w:drawing>
                <wp:inline>
                  <wp:extent cx="4620126" cy="3696101"/>
                  <wp:effectExtent b="0" l="0" r="0" t="0"/>
                  <wp:docPr descr="Posterior predictive checks for EuroQOL — Pain/Discomfort at 90 Days" title="" id="204" name="Picture"/>
                  <a:graphic>
                    <a:graphicData uri="http://schemas.openxmlformats.org/drawingml/2006/picture">
                      <pic:pic>
                        <pic:nvPicPr>
                          <pic:cNvPr descr="manuscript_supplement_files/figure-docx/tbl-euro-pain-checks-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Pain/Discomfort at 90 Days</w:t>
            </w:r>
          </w:p>
          <w:bookmarkEnd w:id="206"/>
        </w:tc>
      </w:tr>
    </w:tbl>
    <w:bookmarkEnd w:id="207"/>
    <w:bookmarkStart w:id="212" w:name="euroqol-anxietydespression-90"/>
    <w:p>
      <w:pPr>
        <w:pStyle w:val="Heading4"/>
      </w:pPr>
      <w:r>
        <w:t xml:space="preserve">EuroQOL Anxiety/Despression 90</w:t>
      </w:r>
    </w:p>
    <w:tbl>
      <w:tblPr>
        <w:tblStyle w:val="Table"/>
        <w:tblW w:type="pct" w:w="5000"/>
        <w:tblLayout w:type="fixed"/>
        <w:tblLook w:firstRow="0" w:lastRow="0" w:firstColumn="0" w:lastColumn="0" w:noHBand="0" w:noVBand="0" w:val="0000"/>
      </w:tblPr>
      <w:tblGrid>
        <w:gridCol w:w="7920"/>
      </w:tblGrid>
      <w:tr>
        <w:tc>
          <w:tcPr/>
          <w:bookmarkStart w:id="211" w:name="tbl-euro-anxiety-checks"/>
          <w:p>
            <w:pPr>
              <w:jc w:val="center"/>
            </w:pPr>
            <w:pPr>
              <w:jc w:val="left"/>
              <w:spacing w:before="200"/>
              <w:pStyle w:val="ImageCaption"/>
            </w:pPr>
            <w:r>
              <w:t xml:space="preserve">Table 36</w:t>
            </w:r>
          </w:p>
          <w:p>
            <w:pPr>
              <w:pStyle w:val="CaptionedFigure"/>
              <w:jc w:val="center"/>
            </w:pPr>
            <w:r>
              <w:drawing>
                <wp:inline>
                  <wp:extent cx="4620126" cy="3696101"/>
                  <wp:effectExtent b="0" l="0" r="0" t="0"/>
                  <wp:docPr descr="Posterior predictive checks for EuroQOL — Anxiety/Depression at 90 Days" title="" id="209" name="Picture"/>
                  <a:graphic>
                    <a:graphicData uri="http://schemas.openxmlformats.org/drawingml/2006/picture">
                      <pic:pic>
                        <pic:nvPicPr>
                          <pic:cNvPr descr="manuscript_supplement_files/figure-docx/tbl-euro-anxiety-checks-1.png" id="210" name="Picture"/>
                          <pic:cNvPicPr>
                            <a:picLocks noChangeArrowheads="1" noChangeAspect="1"/>
                          </pic:cNvPicPr>
                        </pic:nvPicPr>
                        <pic:blipFill>
                          <a:blip r:embed="rId2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Anxiety/Depression at 90 Days</w:t>
            </w:r>
          </w:p>
          <w:bookmarkEnd w:id="211"/>
        </w:tc>
      </w:tr>
    </w:tbl>
    <w:bookmarkEnd w:id="212"/>
    <w:bookmarkStart w:id="217" w:name="euroqol-vas-90-1"/>
    <w:p>
      <w:pPr>
        <w:pStyle w:val="Heading4"/>
      </w:pPr>
      <w:r>
        <w:t xml:space="preserve">EuroQOL VAS 90</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p>
    <w:tbl>
      <w:tblPr>
        <w:tblStyle w:val="Table"/>
        <w:tblW w:type="pct" w:w="5000"/>
        <w:tblLayout w:type="fixed"/>
        <w:tblLook w:firstRow="0" w:lastRow="0" w:firstColumn="0" w:lastColumn="0" w:noHBand="0" w:noVBand="0" w:val="0000"/>
      </w:tblPr>
      <w:tblGrid>
        <w:gridCol w:w="7920"/>
      </w:tblGrid>
      <w:tr>
        <w:tc>
          <w:tcPr/>
          <w:bookmarkStart w:id="216" w:name="tbl-euro-vas-checks"/>
          <w:p>
            <w:pPr>
              <w:jc w:val="center"/>
            </w:pPr>
            <w:pPr>
              <w:jc w:val="left"/>
              <w:spacing w:before="200"/>
              <w:pStyle w:val="ImageCaption"/>
            </w:pPr>
            <w:r>
              <w:t xml:space="preserve">Table 37</w:t>
            </w:r>
          </w:p>
          <w:p>
            <w:pPr>
              <w:pStyle w:val="CaptionedFigure"/>
              <w:jc w:val="center"/>
            </w:pPr>
            <w:r>
              <w:drawing>
                <wp:inline>
                  <wp:extent cx="4620126" cy="3696101"/>
                  <wp:effectExtent b="0" l="0" r="0" t="0"/>
                  <wp:docPr descr="Posterior predictive checks for EuroQOL — VAS at 90 Days" title="" id="214" name="Picture"/>
                  <a:graphic>
                    <a:graphicData uri="http://schemas.openxmlformats.org/drawingml/2006/picture">
                      <pic:pic>
                        <pic:nvPicPr>
                          <pic:cNvPr descr="manuscript_supplement_files/figure-docx/tbl-euro-vas-checks-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VAS at 90 Days</w:t>
            </w:r>
          </w:p>
          <w:bookmarkEnd w:id="216"/>
        </w:tc>
      </w:tr>
    </w:tbl>
    <w:bookmarkEnd w:id="217"/>
    <w:bookmarkEnd w:id="218"/>
    <w:bookmarkEnd w:id="219"/>
    <w:bookmarkStart w:id="253"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221"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220" w:name="tbl-subgroup-interactions"/>
          <w:p>
            <w:pPr>
              <w:jc w:val="center"/>
            </w:pPr>
            <w:pPr>
              <w:jc w:val="left"/>
              <w:spacing w:before="200"/>
              <w:pStyle w:val="ImageCaption"/>
            </w:pPr>
            <w:r>
              <w:t xml:space="preserve">Table 38: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220"/>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221"/>
    <w:bookmarkStart w:id="228" w:name="table-2-with-different-priors"/>
    <w:p>
      <w:pPr>
        <w:pStyle w:val="Heading3"/>
      </w:pPr>
      <w:r>
        <w:t xml:space="preserve">Table 2 with Different Priors</w:t>
      </w:r>
    </w:p>
    <w:bookmarkStart w:id="223"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2" w:name="tbl-2-left-prior"/>
          <w:p>
            <w:pPr>
              <w:jc w:val="center"/>
            </w:pPr>
            <w:pPr>
              <w:jc w:val="left"/>
              <w:spacing w:before="200"/>
              <w:pStyle w:val="ImageCaption"/>
            </w:pPr>
            <w:r>
              <w:t xml:space="preserve">Table 39</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2"/>
        </w:tc>
      </w:tr>
    </w:tbl>
    <w:bookmarkEnd w:id="223"/>
    <w:bookmarkStart w:id="225"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24" w:name="tbl-2-right-prior"/>
          <w:p>
            <w:pPr>
              <w:jc w:val="center"/>
            </w:pPr>
            <w:pPr>
              <w:jc w:val="left"/>
              <w:spacing w:before="200"/>
              <w:pStyle w:val="ImageCaption"/>
            </w:pPr>
            <w:r>
              <w:t xml:space="preserve">Table 40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4"/>
        </w:tc>
      </w:tr>
    </w:tbl>
    <w:bookmarkEnd w:id="225"/>
    <w:bookmarkStart w:id="227" w:name="flat-prior-1"/>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26" w:name="tbl-2-flat-prior"/>
          <w:p>
            <w:pPr>
              <w:jc w:val="center"/>
            </w:pPr>
            <w:pPr>
              <w:jc w:val="left"/>
              <w:spacing w:before="200"/>
              <w:pStyle w:val="ImageCaption"/>
            </w:pPr>
            <w:r>
              <w:t xml:space="preserve">Table 41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6"/>
        </w:tc>
      </w:tr>
    </w:tbl>
    <w:bookmarkEnd w:id="227"/>
    <w:bookmarkEnd w:id="228"/>
    <w:bookmarkStart w:id="235" w:name="table-3-with-different-priors"/>
    <w:p>
      <w:pPr>
        <w:pStyle w:val="Heading3"/>
      </w:pPr>
      <w:r>
        <w:t xml:space="preserve">Table 3 with Different Priors</w:t>
      </w:r>
    </w:p>
    <w:bookmarkStart w:id="230"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9" w:name="tbl-4-left-prior"/>
          <w:p>
            <w:pPr>
              <w:jc w:val="center"/>
            </w:pPr>
            <w:pPr>
              <w:jc w:val="left"/>
              <w:spacing w:before="200"/>
              <w:pStyle w:val="ImageCaption"/>
            </w:pPr>
            <w:r>
              <w:t xml:space="preserve">Table 42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9"/>
        </w:tc>
      </w:tr>
    </w:tbl>
    <w:bookmarkEnd w:id="230"/>
    <w:bookmarkStart w:id="232"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31" w:name="tbl-4-right-prior"/>
          <w:p>
            <w:pPr>
              <w:jc w:val="center"/>
            </w:pPr>
            <w:pPr>
              <w:jc w:val="left"/>
              <w:spacing w:before="200"/>
              <w:pStyle w:val="ImageCaption"/>
            </w:pPr>
            <w:r>
              <w:t xml:space="preserve">Table 43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31"/>
        </w:tc>
      </w:tr>
    </w:tbl>
    <w:bookmarkEnd w:id="232"/>
    <w:bookmarkStart w:id="234" w:name="flat-prior-2"/>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33" w:name="tbl-4-flat-prior"/>
          <w:p>
            <w:pPr>
              <w:jc w:val="center"/>
            </w:pPr>
            <w:pPr>
              <w:jc w:val="left"/>
              <w:spacing w:before="200"/>
              <w:pStyle w:val="ImageCaption"/>
            </w:pPr>
            <w:r>
              <w:t xml:space="preserve">Table 44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33"/>
        </w:tc>
      </w:tr>
    </w:tbl>
    <w:bookmarkEnd w:id="234"/>
    <w:bookmarkEnd w:id="235"/>
    <w:bookmarkStart w:id="237"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36" w:name="tbl-complete-case-sensitivity"/>
          <w:p>
            <w:pPr>
              <w:jc w:val="center"/>
            </w:pPr>
            <w:pPr>
              <w:jc w:val="left"/>
              <w:spacing w:before="200"/>
              <w:pStyle w:val="ImageCaption"/>
            </w:pPr>
            <w:r>
              <w:t xml:space="preserve">Table 45: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36"/>
        </w:tc>
      </w:tr>
    </w:tbl>
    <w:bookmarkEnd w:id="237"/>
    <w:bookmarkStart w:id="252"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38" w:name="tbl-atach-site-sensitivity"/>
          <w:p>
            <w:pPr>
              <w:jc w:val="center"/>
            </w:pPr>
            <w:pPr>
              <w:jc w:val="left"/>
              <w:spacing w:before="200"/>
              <w:pStyle w:val="ImageCaption"/>
            </w:pPr>
            <w:r>
              <w:t xml:space="preserve">Table 46: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38"/>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bookmarkStart w:id="251" w:name="refs"/>
    <w:bookmarkStart w:id="240" w:name="ref-hernanSpecifyingTargetTrial2016"/>
    <w:p>
      <w:pPr>
        <w:pStyle w:val="Bibliography"/>
      </w:pPr>
      <w:r>
        <w:t xml:space="preserve">1.</w:t>
      </w:r>
      <w:r>
        <w:t xml:space="preserve"> </w:t>
      </w:r>
      <w:r>
        <w:t xml:space="preserve">	</w:t>
      </w:r>
      <w:r>
        <w:t xml:space="preserve">Hernán MA, Sauer BC, Hernández-Díaz S, Platt R, Shrier I.</w:t>
      </w:r>
      <w:r>
        <w:t xml:space="preserve"> </w:t>
      </w:r>
      <w:hyperlink r:id="rId239">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240"/>
    <w:bookmarkStart w:id="242" w:name="ref-tennantUseDirectedAcyclic2021"/>
    <w:p>
      <w:pPr>
        <w:pStyle w:val="Bibliography"/>
      </w:pPr>
      <w:r>
        <w:t xml:space="preserve">2.</w:t>
      </w:r>
      <w:r>
        <w:t xml:space="preserve"> </w:t>
      </w:r>
      <w:r>
        <w:t xml:space="preserve">	</w:t>
      </w:r>
      <w:r>
        <w:t xml:space="preserve">Tennant PWG, Murray EJ, Arnold KF, Berrie L, Fox MP, Gadd SC, Harrison WJ, Keeble C, Ranker LR, Textor J, et al.</w:t>
      </w:r>
      <w:r>
        <w:t xml:space="preserve"> </w:t>
      </w:r>
      <w:hyperlink r:id="rId241">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242"/>
    <w:bookmarkStart w:id="243" w:name="ref-sauerUseDirectedAcyclic2013"/>
    <w:p>
      <w:pPr>
        <w:pStyle w:val="Bibliography"/>
      </w:pPr>
      <w:r>
        <w:t xml:space="preserve">3.</w:t>
      </w:r>
      <w:r>
        <w:t xml:space="preserve"> </w:t>
      </w:r>
      <w:r>
        <w:t xml:space="preserve">	</w:t>
      </w:r>
      <w:r>
        <w:t xml:space="preserve">Sauer B, VanderWeele TJ. Use of</w:t>
      </w:r>
      <w:r>
        <w:t xml:space="preserve"> </w:t>
      </w:r>
      <w:r>
        <w:t xml:space="preserve">Directed Acyclic Graphs</w:t>
      </w:r>
      <w:r>
        <w:t xml:space="preserve">. In: Developing a</w:t>
      </w:r>
      <w:r>
        <w:t xml:space="preserve"> </w:t>
      </w:r>
      <w:r>
        <w:t xml:space="preserve">Protocol</w:t>
      </w:r>
      <w:r>
        <w:t xml:space="preserve"> </w:t>
      </w:r>
      <w:r>
        <w:t xml:space="preserve">for</w:t>
      </w:r>
      <w:r>
        <w:t xml:space="preserve"> </w:t>
      </w:r>
      <w:r>
        <w:t xml:space="preserve">Observational Comparative Effectiveness Research</w:t>
      </w:r>
      <w:r>
        <w:t xml:space="preserve">:</w:t>
      </w:r>
      <w:r>
        <w:t xml:space="preserve"> </w:t>
      </w:r>
      <w:r>
        <w:t xml:space="preserve">A User</w:t>
      </w:r>
      <w:r>
        <w:t xml:space="preserve">’s</w:t>
      </w:r>
      <w:r>
        <w:t xml:space="preserve"> </w:t>
      </w:r>
      <w:r>
        <w:t xml:space="preserve">Guide</w:t>
      </w:r>
      <w:r>
        <w:t xml:space="preserve">.</w:t>
      </w:r>
      <w:r>
        <w:t xml:space="preserve"> </w:t>
      </w:r>
      <w:r>
        <w:t xml:space="preserve">Agency for Healthcare Research and Quality (US)</w:t>
      </w:r>
      <w:r>
        <w:t xml:space="preserve">; 2013.</w:t>
      </w:r>
      <w:r>
        <w:t xml:space="preserve"> </w:t>
      </w:r>
    </w:p>
    <w:bookmarkEnd w:id="243"/>
    <w:bookmarkStart w:id="244" w:name="ref-barrettCausalInference2025"/>
    <w:p>
      <w:pPr>
        <w:pStyle w:val="Bibliography"/>
      </w:pPr>
      <w:r>
        <w:t xml:space="preserve">4.</w:t>
      </w:r>
      <w:r>
        <w:t xml:space="preserve"> </w:t>
      </w:r>
      <w:r>
        <w:t xml:space="preserve">	</w:t>
      </w:r>
      <w:r>
        <w:t xml:space="preserve">Barrett M, McGowan LD, Gerke T. Causal</w:t>
      </w:r>
      <w:r>
        <w:t xml:space="preserve"> </w:t>
      </w:r>
      <w:r>
        <w:t xml:space="preserve">Inference</w:t>
      </w:r>
      <w:r>
        <w:t xml:space="preserve"> </w:t>
      </w:r>
      <w:r>
        <w:t xml:space="preserve">in</w:t>
      </w:r>
      <w:r>
        <w:t xml:space="preserve"> </w:t>
      </w:r>
      <w:r>
        <w:t xml:space="preserve">R</w:t>
      </w:r>
      <w:r>
        <w:t xml:space="preserve">. 2025.</w:t>
      </w:r>
      <w:r>
        <w:t xml:space="preserve"> </w:t>
      </w:r>
    </w:p>
    <w:bookmarkEnd w:id="244"/>
    <w:bookmarkStart w:id="246" w:name="ref-zampieriUsingBayesianMethods2021"/>
    <w:p>
      <w:pPr>
        <w:pStyle w:val="Bibliography"/>
      </w:pPr>
      <w:r>
        <w:t xml:space="preserve">5.</w:t>
      </w:r>
      <w:r>
        <w:t xml:space="preserve"> </w:t>
      </w:r>
      <w:r>
        <w:t xml:space="preserve">	</w:t>
      </w:r>
      <w:r>
        <w:t xml:space="preserve">Zampieri FG, Casey JD, Shankar-Hari M, Harrell FE, Harhay MO.</w:t>
      </w:r>
      <w:r>
        <w:t xml:space="preserve"> </w:t>
      </w:r>
      <w:hyperlink r:id="rId245">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American Journal of Respiratory and Critical Care Medicine</w:t>
      </w:r>
      <w:r>
        <w:t xml:space="preserve">. 2021;203:543–552.</w:t>
      </w:r>
      <w:r>
        <w:t xml:space="preserve"> </w:t>
      </w:r>
    </w:p>
    <w:bookmarkEnd w:id="246"/>
    <w:bookmarkStart w:id="248" w:name="Xfbc06ab4e8a143dd15dec8dfd06cc82cc01ab3c"/>
    <w:p>
      <w:pPr>
        <w:pStyle w:val="Bibliography"/>
      </w:pPr>
      <w:r>
        <w:t xml:space="preserve">6.</w:t>
      </w:r>
      <w:r>
        <w:t xml:space="preserve"> </w:t>
      </w:r>
      <w:r>
        <w:t xml:space="preserve">	</w:t>
      </w:r>
      <w:r>
        <w:t xml:space="preserve">Kruschke JK.</w:t>
      </w:r>
      <w:r>
        <w:t xml:space="preserve"> </w:t>
      </w:r>
      <w:hyperlink r:id="rId247">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248"/>
    <w:bookmarkStart w:id="250" w:name="ref-gelmanBayesianWorkflow2020"/>
    <w:p>
      <w:pPr>
        <w:pStyle w:val="Bibliography"/>
      </w:pPr>
      <w:r>
        <w:t xml:space="preserve">7.</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49">
        <w:r>
          <w:rPr>
            <w:rStyle w:val="Hyperlink"/>
          </w:rPr>
          <w:t xml:space="preserve">https://arxiv.org/abs/2011.01808</w:t>
        </w:r>
      </w:hyperlink>
    </w:p>
    <w:bookmarkEnd w:id="250"/>
    <w:bookmarkEnd w:id="251"/>
    <w:bookmarkEnd w:id="252"/>
    <w:bookmarkEnd w:id="253"/>
    <w:bookmarkEnd w:id="254"/>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63" Target="media/rId63.png" /><Relationship Type="http://schemas.openxmlformats.org/officeDocument/2006/relationships/image" Id="rId168" Target="media/rId168.png" /><Relationship Type="http://schemas.openxmlformats.org/officeDocument/2006/relationships/image" Id="rId97" Target="media/rId97.png" /><Relationship Type="http://schemas.openxmlformats.org/officeDocument/2006/relationships/image" Id="rId178" Target="media/rId178.png" /><Relationship Type="http://schemas.openxmlformats.org/officeDocument/2006/relationships/image" Id="rId107" Target="media/rId107.png" /><Relationship Type="http://schemas.openxmlformats.org/officeDocument/2006/relationships/image" Id="rId173" Target="media/rId173.png" /><Relationship Type="http://schemas.openxmlformats.org/officeDocument/2006/relationships/image" Id="rId102" Target="media/rId102.png" /><Relationship Type="http://schemas.openxmlformats.org/officeDocument/2006/relationships/image" Id="rId208" Target="media/rId208.png" /><Relationship Type="http://schemas.openxmlformats.org/officeDocument/2006/relationships/image" Id="rId137" Target="media/rId137.png" /><Relationship Type="http://schemas.openxmlformats.org/officeDocument/2006/relationships/image" Id="rId188" Target="media/rId188.png" /><Relationship Type="http://schemas.openxmlformats.org/officeDocument/2006/relationships/image" Id="rId117" Target="media/rId117.png" /><Relationship Type="http://schemas.openxmlformats.org/officeDocument/2006/relationships/image" Id="rId203" Target="media/rId203.png" /><Relationship Type="http://schemas.openxmlformats.org/officeDocument/2006/relationships/image" Id="rId132" Target="media/rId132.png" /><Relationship Type="http://schemas.openxmlformats.org/officeDocument/2006/relationships/image" Id="rId193" Target="media/rId193.png" /><Relationship Type="http://schemas.openxmlformats.org/officeDocument/2006/relationships/image" Id="rId122" Target="media/rId122.png" /><Relationship Type="http://schemas.openxmlformats.org/officeDocument/2006/relationships/image" Id="rId198" Target="media/rId198.png" /><Relationship Type="http://schemas.openxmlformats.org/officeDocument/2006/relationships/image" Id="rId127" Target="media/rId127.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153" Target="media/rId153.png" /><Relationship Type="http://schemas.openxmlformats.org/officeDocument/2006/relationships/image" Id="rId82" Target="media/rId82.png" /><Relationship Type="http://schemas.openxmlformats.org/officeDocument/2006/relationships/image" Id="rId183" Target="media/rId183.png" /><Relationship Type="http://schemas.openxmlformats.org/officeDocument/2006/relationships/image" Id="rId112" Target="media/rId112.png" /><Relationship Type="http://schemas.openxmlformats.org/officeDocument/2006/relationships/image" Id="rId148" Target="media/rId148.png" /><Relationship Type="http://schemas.openxmlformats.org/officeDocument/2006/relationships/image" Id="rId77" Target="media/rId77.png" /><Relationship Type="http://schemas.openxmlformats.org/officeDocument/2006/relationships/image" Id="rId158" Target="media/rId158.png" /><Relationship Type="http://schemas.openxmlformats.org/officeDocument/2006/relationships/image" Id="rId87" Target="media/rId87.png" /><Relationship Type="http://schemas.openxmlformats.org/officeDocument/2006/relationships/image" Id="rId163" Target="media/rId163.png" /><Relationship Type="http://schemas.openxmlformats.org/officeDocument/2006/relationships/image" Id="rId92" Target="media/rId92.png" /><Relationship Type="http://schemas.openxmlformats.org/officeDocument/2006/relationships/hyperlink" Id="rId249" Target="https://arxiv.org/abs/2011.01808" TargetMode="External" /><Relationship Type="http://schemas.openxmlformats.org/officeDocument/2006/relationships/hyperlink" Id="rId239" Target="https://doi.org/10.1016/j.jclinepi.2016.04.014" TargetMode="External" /><Relationship Type="http://schemas.openxmlformats.org/officeDocument/2006/relationships/hyperlink" Id="rId247" Target="https://doi.org/10.1038/s41562-021-01177-7" TargetMode="External" /><Relationship Type="http://schemas.openxmlformats.org/officeDocument/2006/relationships/hyperlink" Id="rId241" Target="https://doi.org/10.1093/ije/dyaa213" TargetMode="External" /><Relationship Type="http://schemas.openxmlformats.org/officeDocument/2006/relationships/hyperlink" Id="rId245"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011.01808" TargetMode="External" /><Relationship Type="http://schemas.openxmlformats.org/officeDocument/2006/relationships/hyperlink" Id="rId239" Target="https://doi.org/10.1016/j.jclinepi.2016.04.014" TargetMode="External" /><Relationship Type="http://schemas.openxmlformats.org/officeDocument/2006/relationships/hyperlink" Id="rId247" Target="https://doi.org/10.1038/s41562-021-01177-7" TargetMode="External" /><Relationship Type="http://schemas.openxmlformats.org/officeDocument/2006/relationships/hyperlink" Id="rId241" Target="https://doi.org/10.1093/ije/dyaa213" TargetMode="External" /><Relationship Type="http://schemas.openxmlformats.org/officeDocument/2006/relationships/hyperlink" Id="rId245"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2026-04-22T22:29:42Z</dcterms:created>
  <dcterms:modified xsi:type="dcterms:W3CDTF">2026-04-22T22:29:42Z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