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40"/>
        <w:rPr>
          <w:rFonts w:ascii="Liberation Serif" w:hAnsi="Liberation Serif"/>
        </w:rPr>
      </w:pPr>
      <w:r>
        <w:rPr>
          <w:rFonts w:eastAsia="Calibri" w:cs="Calibri" w:ascii="Liberation Serif" w:hAnsi="Liberation Serif"/>
          <w:sz w:val="22"/>
          <w:szCs w:val="22"/>
        </w:rPr>
        <w:t xml:space="preserve">To the </w:t>
      </w:r>
      <w:r>
        <w:rPr>
          <w:rFonts w:eastAsia="Calibri" w:cs="Calibri" w:ascii="Liberation Serif" w:hAnsi="Liberation Serif"/>
          <w:i/>
          <w:iCs/>
          <w:sz w:val="22"/>
          <w:szCs w:val="22"/>
        </w:rPr>
        <w:t>Stroke</w:t>
      </w:r>
      <w:r>
        <w:rPr>
          <w:rFonts w:eastAsia="Calibri" w:cs="Calibri" w:ascii="Liberation Serif" w:hAnsi="Liberation Serif"/>
          <w:sz w:val="22"/>
          <w:szCs w:val="22"/>
        </w:rPr>
        <w:t xml:space="preserve"> Editorial Board and Reviewers:</w:t>
      </w:r>
    </w:p>
    <w:p>
      <w:pPr>
        <w:pStyle w:val="Normal"/>
        <w:spacing w:before="0" w:after="140"/>
        <w:rPr>
          <w:rFonts w:ascii="Liberation Serif" w:hAnsi="Liberation Serif" w:eastAsia="Calibri" w:cs="Calibri"/>
          <w:sz w:val="22"/>
          <w:szCs w:val="22"/>
        </w:rPr>
      </w:pPr>
      <w:r>
        <w:rPr>
          <w:rFonts w:eastAsia="Calibri" w:cs="Calibri" w:ascii="Liberation Serif" w:hAnsi="Liberation Serif"/>
          <w:sz w:val="22"/>
          <w:szCs w:val="22"/>
        </w:rPr>
        <w:t>We thank the editors and reviewers for their continued careful reading of our manuscript. The remaining comments were constructive and, we believe, have made the reporting more precise and the framing more appropriately restrained. We have addressed each point below; reviewer comments appear in italics, followed by our response. Changes are described by section, and a version with changes marked accompanies this letter.</w:t>
      </w:r>
    </w:p>
    <w:p>
      <w:pPr>
        <w:pStyle w:val="Normal"/>
        <w:spacing w:before="0" w:after="140"/>
        <w:rPr>
          <w:rFonts w:ascii="Liberation Serif" w:hAnsi="Liberation Serif" w:eastAsia="Calibri" w:cs="Calibri"/>
          <w:sz w:val="22"/>
          <w:szCs w:val="22"/>
        </w:rPr>
      </w:pPr>
      <w:r>
        <w:rPr>
          <w:rFonts w:eastAsia="Calibri" w:cs="Calibri" w:ascii="Liberation Serif" w:hAnsi="Liberation Serif"/>
          <w:sz w:val="22"/>
          <w:szCs w:val="22"/>
        </w:rPr>
      </w:r>
    </w:p>
    <w:p>
      <w:pPr>
        <w:pStyle w:val="Normal"/>
        <w:spacing w:before="0" w:after="140"/>
        <w:rPr>
          <w:rFonts w:ascii="Liberation Serif" w:hAnsi="Liberation Serif" w:eastAsia="Calibri" w:cs="Calibri"/>
          <w:sz w:val="22"/>
          <w:szCs w:val="22"/>
        </w:rPr>
      </w:pPr>
      <w:r>
        <w:rPr>
          <w:rFonts w:eastAsia="Calibri" w:cs="Calibri" w:ascii="Liberation Serif" w:hAnsi="Liberation Serif"/>
          <w:sz w:val="22"/>
          <w:szCs w:val="22"/>
        </w:rPr>
        <w:t xml:space="preserve">We hope the manuscript is now suitable for publication in </w:t>
      </w:r>
      <w:r>
        <w:rPr>
          <w:rFonts w:eastAsia="Calibri" w:cs="Calibri" w:ascii="Liberation Serif" w:hAnsi="Liberation Serif"/>
          <w:i/>
          <w:iCs/>
          <w:sz w:val="22"/>
          <w:szCs w:val="22"/>
        </w:rPr>
        <w:t>Stroke</w:t>
      </w:r>
      <w:r>
        <w:rPr>
          <w:rFonts w:eastAsia="Calibri" w:cs="Calibri" w:ascii="Liberation Serif" w:hAnsi="Liberation Serif"/>
          <w:sz w:val="22"/>
          <w:szCs w:val="22"/>
        </w:rPr>
        <w:t>.</w:t>
      </w:r>
    </w:p>
    <w:p>
      <w:pPr>
        <w:pStyle w:val="Normal"/>
        <w:spacing w:before="0" w:after="140"/>
        <w:rPr>
          <w:rFonts w:eastAsia="Calibri" w:cs="Calibri"/>
          <w:sz w:val="22"/>
          <w:szCs w:val="22"/>
        </w:rPr>
      </w:pPr>
      <w:r>
        <w:rPr>
          <w:rFonts w:eastAsia="Calibri" w:cs="Calibri" w:ascii="Liberation Serif" w:hAnsi="Liberation Serif"/>
          <w:sz w:val="22"/>
          <w:szCs w:val="22"/>
        </w:rPr>
      </w:r>
    </w:p>
    <w:p>
      <w:pPr>
        <w:pStyle w:val="Normal"/>
        <w:pBdr>
          <w:bottom w:val="single" w:sz="8" w:space="4" w:color="444444"/>
        </w:pBdr>
        <w:spacing w:before="400" w:after="160"/>
        <w:rPr>
          <w:rFonts w:ascii="Liberation Serif" w:hAnsi="Liberation Serif"/>
        </w:rPr>
      </w:pPr>
      <w:r>
        <w:rPr>
          <w:rFonts w:eastAsia="Calibri" w:cs="Calibri" w:ascii="Liberation Serif" w:hAnsi="Liberation Serif"/>
          <w:b/>
          <w:bCs/>
          <w:sz w:val="26"/>
          <w:szCs w:val="26"/>
        </w:rPr>
        <w:t>Reviewer #1</w:t>
      </w:r>
    </w:p>
    <w:p>
      <w:pPr>
        <w:pStyle w:val="Normal"/>
        <w:spacing w:before="0" w:after="140"/>
        <w:rPr>
          <w:rFonts w:ascii="Liberation Serif" w:hAnsi="Liberation Serif"/>
        </w:rPr>
      </w:pPr>
      <w:r>
        <w:rPr>
          <w:rFonts w:eastAsia="Calibri" w:cs="Calibri" w:ascii="Liberation Serif" w:hAnsi="Liberation Serif"/>
          <w:sz w:val="22"/>
          <w:szCs w:val="22"/>
        </w:rPr>
        <w:t>We are grateful to the reviewer for the detailed and constructive engagement across both rounds of review, and for the observation that the revisions strengthened the manuscript. We agree that the remaining points are addressable through reporting, wording, and presentation, and have handled them accordingly without additional primary analyses.</w:t>
      </w:r>
    </w:p>
    <w:p>
      <w:pPr>
        <w:pStyle w:val="Normal"/>
        <w:spacing w:before="280" w:after="120"/>
        <w:rPr>
          <w:rFonts w:ascii="Liberation Serif" w:hAnsi="Liberation Serif"/>
        </w:rPr>
      </w:pPr>
      <w:r>
        <w:rPr>
          <w:rFonts w:eastAsia="Calibri" w:cs="Calibri" w:ascii="Liberation Serif" w:hAnsi="Liberation Serif"/>
          <w:b/>
          <w:bCs/>
          <w:sz w:val="23"/>
          <w:szCs w:val="23"/>
        </w:rPr>
        <w:t>Major Comments</w:t>
      </w:r>
    </w:p>
    <w:p>
      <w:pPr>
        <w:pStyle w:val="Normal"/>
        <w:spacing w:before="240" w:after="100"/>
        <w:ind w:hanging="0" w:start="0"/>
        <w:jc w:val="start"/>
        <w:rPr>
          <w:rFonts w:ascii="Liberation Serif" w:hAnsi="Liberation Serif"/>
        </w:rPr>
      </w:pPr>
      <w:r>
        <w:rPr>
          <w:rFonts w:eastAsia="Calibri" w:cs="Calibri" w:ascii="Liberation Serif" w:hAnsi="Liberation Serif"/>
          <w:b/>
          <w:bCs/>
          <w:i/>
          <w:iCs/>
          <w:sz w:val="22"/>
          <w:szCs w:val="22"/>
        </w:rPr>
        <w:t xml:space="preserve">Comment 1. </w:t>
      </w:r>
      <w:r>
        <w:rPr>
          <w:rFonts w:eastAsia="Calibri" w:cs="Calibri" w:ascii="Liberation Serif" w:hAnsi="Liberation Serif"/>
          <w:i/>
          <w:iCs/>
          <w:color w:val="404040"/>
          <w:sz w:val="22"/>
          <w:szCs w:val="22"/>
        </w:rPr>
        <w:t>Further temper residual causal or disparity-related language. The revised manuscript is much more appropriately framed than the original submission. However, some wording still risks implying a stronger causal interpretation than the study design can support. In particular, language such as “laterality-driven disparity” may still be read as implying treatment bias or inequity, even though the analysis remains observational and residual confounding is plausible. I would recommend replacing this type of wording with more neutral language such as “laterality-associated difference in treatment allocation” or “laterality-associated variation in neurosurgical intervention.” This would preserve the clinical importance of the finding while avoiding overinterpretation.</w:t>
      </w:r>
    </w:p>
    <w:p>
      <w:pPr>
        <w:pStyle w:val="Normal"/>
        <w:spacing w:before="240" w:after="100"/>
        <w:ind w:hanging="0" w:start="0"/>
        <w:rPr>
          <w:rFonts w:ascii="Liberation Serif" w:hAnsi="Liberation Serif" w:eastAsia="Calibri" w:cs="Calibri"/>
          <w:i/>
          <w:iCs/>
          <w:color w:val="404040"/>
          <w:sz w:val="22"/>
          <w:szCs w:val="22"/>
        </w:rPr>
      </w:pPr>
      <w:r>
        <w:rPr>
          <w:rFonts w:eastAsia="Calibri" w:cs="Calibri" w:ascii="Liberation Serif" w:hAnsi="Liberation Serif"/>
          <w:i/>
          <w:iCs/>
          <w:color w:val="404040"/>
          <w:sz w:val="22"/>
          <w:szCs w:val="22"/>
        </w:rPr>
      </w:r>
    </w:p>
    <w:p>
      <w:pPr>
        <w:pStyle w:val="Normal"/>
        <w:spacing w:before="0" w:after="120"/>
        <w:rPr>
          <w:rFonts w:ascii="Liberation Serif" w:hAnsi="Liberation Serif"/>
        </w:rPr>
      </w:pPr>
      <w:r>
        <w:rPr>
          <w:rFonts w:eastAsia="Calibri" w:cs="Calibri" w:ascii="Liberation Serif" w:hAnsi="Liberation Serif"/>
          <w:b/>
          <w:bCs/>
          <w:sz w:val="22"/>
          <w:szCs w:val="22"/>
        </w:rPr>
        <w:t xml:space="preserve">Response: </w:t>
      </w:r>
      <w:r>
        <w:rPr>
          <w:rFonts w:eastAsia="Calibri" w:cs="Calibri" w:ascii="Liberation Serif" w:hAnsi="Liberation Serif"/>
          <w:sz w:val="22"/>
          <w:szCs w:val="22"/>
        </w:rPr>
        <w:t>We agree and have adopted the reviewer’s suggested phrasing. “Laterality-driven disparity” has been replaced with “laterality-associated variation in neurosurgical intervention” in both the Abstract Conclusions and the Conclusions section. In the Discussion, “the observed disparity in our cohort” now reads “the observed association in our cohort,” and “one plausible explanation for this disparity” now reads “one plausible explanation for this association.”</w:t>
      </w:r>
    </w:p>
    <w:p>
      <w:pPr>
        <w:pStyle w:val="Normal"/>
        <w:spacing w:before="0" w:after="120"/>
        <w:rPr>
          <w:rFonts w:ascii="Liberation Serif" w:hAnsi="Liberation Serif" w:eastAsia="Calibri" w:cs="Calibri"/>
          <w:sz w:val="22"/>
          <w:szCs w:val="22"/>
        </w:rPr>
      </w:pPr>
      <w:r>
        <w:rPr>
          <w:rFonts w:eastAsia="Calibri" w:cs="Calibri" w:ascii="Liberation Serif" w:hAnsi="Liberation Serif"/>
          <w:sz w:val="22"/>
          <w:szCs w:val="22"/>
        </w:rPr>
        <w:t>The word “disparity” no longer appears anywhere in the manuscript. We have also retained the existing sentence noting that the observed association likely reflects clinical triage, unmeasured anatomical severity, and shared decision-making rather than isolated treatment bias.</w:t>
      </w:r>
    </w:p>
    <w:p>
      <w:pPr>
        <w:pStyle w:val="Normal"/>
        <w:spacing w:before="0" w:after="120"/>
        <w:rPr>
          <w:rFonts w:ascii="Liberation Serif" w:hAnsi="Liberation Serif" w:eastAsia="Calibri" w:cs="Calibri"/>
          <w:sz w:val="22"/>
          <w:szCs w:val="22"/>
        </w:rPr>
      </w:pPr>
      <w:r>
        <w:rPr>
          <w:rFonts w:eastAsia="Calibri" w:cs="Calibri" w:ascii="Liberation Serif" w:hAnsi="Liberation Serif"/>
          <w:sz w:val="22"/>
          <w:szCs w:val="22"/>
        </w:rPr>
        <w:t>---</w:t>
      </w:r>
    </w:p>
    <w:p>
      <w:pPr>
        <w:pStyle w:val="Normal"/>
        <w:spacing w:before="240" w:after="100"/>
        <w:ind w:hanging="0" w:start="0"/>
        <w:rPr>
          <w:rFonts w:ascii="Liberation Serif" w:hAnsi="Liberation Serif"/>
        </w:rPr>
      </w:pPr>
      <w:r>
        <w:rPr>
          <w:rFonts w:eastAsia="Calibri" w:cs="Calibri" w:ascii="Liberation Serif" w:hAnsi="Liberation Serif"/>
          <w:b/>
          <w:bCs/>
          <w:i/>
          <w:iCs/>
          <w:sz w:val="22"/>
          <w:szCs w:val="22"/>
        </w:rPr>
        <w:t xml:space="preserve">Comment 2. </w:t>
      </w:r>
      <w:r>
        <w:rPr>
          <w:rFonts w:eastAsia="Calibri" w:cs="Calibri" w:ascii="Liberation Serif" w:hAnsi="Liberation Serif"/>
          <w:i/>
          <w:iCs/>
          <w:color w:val="404040"/>
          <w:sz w:val="22"/>
          <w:szCs w:val="22"/>
        </w:rPr>
        <w:t>Align the Abstract with the revised functional outcome analysis. The updated marginal-effect analysis appears to substantially attenuate the previously reported associations between laterality and functional outcomes. The Abstract should reflect this more clearly. The current wording suggesting “potentially better outcomes in specific health-related quality of life domains” may overstate the revised findings, especially given that the reported effect sizes for most HRQoL domains are small and largely not clinically meaningful by the authors’ own ROPE/substantial-difference framework. I would suggest stating more directly that 90-day mRS and HRQoL outcomes were not meaningfully different between hemispheres.</w:t>
      </w:r>
    </w:p>
    <w:p>
      <w:pPr>
        <w:pStyle w:val="Normal"/>
        <w:spacing w:before="240" w:after="100"/>
        <w:ind w:hanging="0" w:start="0"/>
        <w:rPr>
          <w:rFonts w:ascii="Liberation Serif" w:hAnsi="Liberation Serif" w:eastAsia="Calibri" w:cs="Calibri"/>
          <w:i/>
          <w:iCs/>
          <w:color w:val="404040"/>
          <w:sz w:val="22"/>
          <w:szCs w:val="22"/>
        </w:rPr>
      </w:pPr>
      <w:r>
        <w:rPr>
          <w:rFonts w:eastAsia="Calibri" w:cs="Calibri" w:ascii="Liberation Serif" w:hAnsi="Liberation Serif"/>
          <w:i/>
          <w:iCs/>
          <w:color w:val="404040"/>
          <w:sz w:val="22"/>
          <w:szCs w:val="22"/>
        </w:rPr>
      </w:r>
    </w:p>
    <w:p>
      <w:pPr>
        <w:pStyle w:val="Normal"/>
        <w:spacing w:before="0" w:after="120"/>
        <w:rPr>
          <w:rFonts w:ascii="Liberation Serif" w:hAnsi="Liberation Serif"/>
        </w:rPr>
      </w:pPr>
      <w:r>
        <w:rPr>
          <w:rFonts w:eastAsia="Calibri" w:cs="Calibri" w:ascii="Liberation Serif" w:hAnsi="Liberation Serif"/>
          <w:b/>
          <w:bCs/>
          <w:sz w:val="22"/>
          <w:szCs w:val="22"/>
        </w:rPr>
        <w:t xml:space="preserve">Response: </w:t>
      </w:r>
      <w:r>
        <w:rPr>
          <w:rFonts w:eastAsia="Calibri" w:cs="Calibri" w:ascii="Liberation Serif" w:hAnsi="Liberation Serif"/>
          <w:sz w:val="22"/>
          <w:szCs w:val="22"/>
        </w:rPr>
        <w:t>We agree that the prior wording overstated the revised findings and have removed it. The Abstract Results now state directly:</w:t>
      </w:r>
    </w:p>
    <w:p>
      <w:pPr>
        <w:pStyle w:val="Normal"/>
        <w:spacing w:before="80" w:after="160"/>
        <w:ind w:start="576" w:end="360"/>
        <w:rPr>
          <w:rFonts w:ascii="Liberation Serif" w:hAnsi="Liberation Serif"/>
        </w:rPr>
      </w:pPr>
      <w:r>
        <w:rPr>
          <w:rFonts w:eastAsia="Calibri" w:cs="Calibri" w:ascii="Liberation Serif" w:hAnsi="Liberation Serif"/>
          <w:i/>
          <w:iCs/>
          <w:sz w:val="21"/>
          <w:szCs w:val="21"/>
        </w:rPr>
        <w:t>“</w:t>
      </w:r>
      <w:r>
        <w:rPr>
          <w:rFonts w:eastAsia="Calibri" w:cs="Calibri" w:ascii="Liberation Serif" w:hAnsi="Liberation Serif"/>
          <w:i/>
          <w:iCs/>
          <w:sz w:val="21"/>
          <w:szCs w:val="21"/>
        </w:rPr>
        <w:t>Despite lower rates of surgical intervention in left hemispheric ICH, there was no meaningful difference in 90-day functional outcomes between patients with left and right hemispheric ICH.”</w:t>
      </w:r>
    </w:p>
    <w:p>
      <w:pPr>
        <w:pStyle w:val="Normal"/>
        <w:spacing w:before="0" w:after="120"/>
        <w:rPr>
          <w:rFonts w:ascii="Liberation Serif" w:hAnsi="Liberation Serif"/>
        </w:rPr>
      </w:pPr>
      <w:r>
        <w:rPr>
          <w:rFonts w:eastAsia="Calibri" w:cs="Calibri" w:ascii="Liberation Serif" w:hAnsi="Liberation Serif"/>
          <w:b/>
          <w:bCs/>
          <w:sz w:val="22"/>
          <w:szCs w:val="22"/>
        </w:rPr>
        <w:t xml:space="preserve">Response: </w:t>
      </w:r>
      <w:r>
        <w:rPr>
          <w:rFonts w:eastAsia="Calibri" w:cs="Calibri" w:ascii="Liberation Serif" w:hAnsi="Liberation Serif"/>
          <w:sz w:val="22"/>
          <w:szCs w:val="22"/>
        </w:rPr>
        <w:t>The parallel sentence in the Discussion has been revised in the same way, and the phrase “potentially better quality of life measures” has been removed. This is consistent with the reported estimates: the posterior probability of a substantial difference was &lt; 0.1% for every EQ-5D domain and for the EQ-VAS.</w:t>
      </w:r>
    </w:p>
    <w:p>
      <w:pPr>
        <w:pStyle w:val="Normal"/>
        <w:spacing w:before="0" w:after="120"/>
        <w:rPr>
          <w:rFonts w:ascii="Liberation Serif" w:hAnsi="Liberation Serif" w:eastAsia="Calibri" w:cs="Calibri"/>
          <w:sz w:val="22"/>
          <w:szCs w:val="22"/>
        </w:rPr>
      </w:pPr>
      <w:r>
        <w:rPr>
          <w:rFonts w:eastAsia="Calibri" w:cs="Calibri" w:ascii="Liberation Serif" w:hAnsi="Liberation Serif"/>
          <w:sz w:val="22"/>
          <w:szCs w:val="22"/>
        </w:rPr>
        <w:t>---</w:t>
      </w:r>
    </w:p>
    <w:p>
      <w:pPr>
        <w:pStyle w:val="Normal"/>
        <w:spacing w:before="0" w:after="120"/>
        <w:rPr>
          <w:rFonts w:ascii="Liberation Serif" w:hAnsi="Liberation Serif" w:eastAsia="Calibri" w:cs="Calibri"/>
          <w:sz w:val="22"/>
          <w:szCs w:val="22"/>
        </w:rPr>
      </w:pPr>
      <w:r>
        <w:rPr>
          <w:rFonts w:eastAsia="Calibri" w:cs="Calibri" w:ascii="Liberation Serif" w:hAnsi="Liberation Serif"/>
          <w:sz w:val="22"/>
          <w:szCs w:val="22"/>
        </w:rPr>
      </w:r>
    </w:p>
    <w:p>
      <w:pPr>
        <w:pStyle w:val="Normal"/>
        <w:spacing w:before="240" w:after="100"/>
        <w:ind w:hanging="0" w:start="0"/>
        <w:rPr>
          <w:rFonts w:ascii="Liberation Serif" w:hAnsi="Liberation Serif"/>
        </w:rPr>
      </w:pPr>
      <w:r>
        <w:rPr>
          <w:rFonts w:eastAsia="Calibri" w:cs="Calibri" w:ascii="Liberation Serif" w:hAnsi="Liberation Serif"/>
          <w:b/>
          <w:bCs/>
          <w:i/>
          <w:iCs/>
          <w:sz w:val="22"/>
          <w:szCs w:val="22"/>
        </w:rPr>
        <w:t>C</w:t>
      </w:r>
      <w:r>
        <w:rPr>
          <w:rFonts w:eastAsia="Calibri" w:cs="Calibri" w:ascii="Liberation Serif" w:hAnsi="Liberation Serif"/>
          <w:b/>
          <w:bCs/>
          <w:i/>
          <w:iCs/>
          <w:sz w:val="22"/>
          <w:szCs w:val="22"/>
        </w:rPr>
        <w:t xml:space="preserve">omment 3. </w:t>
      </w:r>
      <w:r>
        <w:rPr>
          <w:rFonts w:eastAsia="Calibri" w:cs="Calibri" w:ascii="Liberation Serif" w:hAnsi="Liberation Serif"/>
          <w:i/>
          <w:iCs/>
          <w:color w:val="404040"/>
          <w:sz w:val="22"/>
          <w:szCs w:val="22"/>
        </w:rPr>
        <w:t>Ensure Bayesian terminology is fully consistent throughout the manuscript, tables, and figures. The response letter indicates that Bayesian terminology has been standardized, but the tables still appear to use “95% CI” in places. Since the analysis is Bayesian, these should be reported consistently as “95% CrI” throughout. This should be corrected in table headings, table footnotes, figure legends, and any corresponding text. Please also ensure that the terms “credible interval,” “posterior probability,” and “region of practical equivalence” are used consistently.</w:t>
      </w:r>
    </w:p>
    <w:p>
      <w:pPr>
        <w:pStyle w:val="Normal"/>
        <w:spacing w:before="0" w:after="120"/>
        <w:rPr>
          <w:rFonts w:ascii="Liberation Serif" w:hAnsi="Liberation Serif" w:eastAsia="Calibri" w:cs="Calibri"/>
          <w:b/>
          <w:bCs/>
          <w:sz w:val="22"/>
          <w:szCs w:val="22"/>
        </w:rPr>
      </w:pPr>
      <w:r>
        <w:rPr>
          <w:rFonts w:eastAsia="Calibri" w:cs="Calibri" w:ascii="Liberation Serif" w:hAnsi="Liberation Serif"/>
          <w:b/>
          <w:bCs/>
          <w:sz w:val="22"/>
          <w:szCs w:val="22"/>
        </w:rPr>
      </w:r>
    </w:p>
    <w:p>
      <w:pPr>
        <w:pStyle w:val="Normal"/>
        <w:spacing w:before="0" w:after="120"/>
        <w:rPr>
          <w:rFonts w:ascii="Liberation Serif" w:hAnsi="Liberation Serif"/>
        </w:rPr>
      </w:pPr>
      <w:r>
        <w:rPr>
          <w:rFonts w:eastAsia="Calibri" w:cs="Calibri" w:ascii="Liberation Serif" w:hAnsi="Liberation Serif"/>
          <w:b/>
          <w:bCs/>
          <w:sz w:val="22"/>
          <w:szCs w:val="22"/>
        </w:rPr>
        <w:t xml:space="preserve">Response: </w:t>
      </w:r>
      <w:r>
        <w:rPr>
          <w:rFonts w:eastAsia="Calibri" w:cs="Calibri" w:ascii="Liberation Serif" w:hAnsi="Liberation Serif"/>
          <w:sz w:val="22"/>
          <w:szCs w:val="22"/>
        </w:rPr>
        <w:t>We apologize for these residual inconsistencies, which arose in the table-generating code rather than the text. All have been corrected. The column headings of Tables 2 and 3 now read “aOR / IRR (95% CrI)” and “aOR / Mean Diff (95% CrI),” and the abbreviation lists in both footnotes now define “CrI, credible interval.”</w:t>
      </w:r>
    </w:p>
    <w:p>
      <w:pPr>
        <w:pStyle w:val="Normal"/>
        <w:spacing w:before="0" w:after="120"/>
        <w:rPr>
          <w:rFonts w:ascii="Liberation Serif" w:hAnsi="Liberation Serif"/>
        </w:rPr>
      </w:pPr>
      <w:r>
        <w:rPr>
          <w:rFonts w:eastAsia="Calibri" w:cs="Calibri" w:ascii="Liberation Serif" w:hAnsi="Liberation Serif"/>
          <w:sz w:val="22"/>
          <w:szCs w:val="22"/>
        </w:rPr>
        <w:t>We have verified that no instance of “95% CI” or “confidence interval” remains anywhere in the manuscript, tables, figure legends, or Supplemental Appendix, other than the single sentence in the Statistical Analysis section that deliberately contrasts credible intervals with frequentist confidence intervals. “Posterior probability” and “region of practical equivalence” are likewise used consistently, with “posterior” retained as a modifier throughout.</w:t>
      </w:r>
    </w:p>
    <w:p>
      <w:pPr>
        <w:pStyle w:val="Normal"/>
        <w:spacing w:before="240" w:after="100"/>
        <w:ind w:start="360"/>
        <w:rPr>
          <w:rFonts w:ascii="Liberation Serif" w:hAnsi="Liberation Serif"/>
        </w:rPr>
      </w:pPr>
      <w:r>
        <w:rPr>
          <w:rFonts w:eastAsia="Calibri" w:cs="Calibri" w:ascii="Liberation Serif" w:hAnsi="Liberation Serif"/>
          <w:b/>
          <w:bCs/>
          <w:i/>
          <w:iCs/>
          <w:sz w:val="22"/>
          <w:szCs w:val="22"/>
        </w:rPr>
        <w:t xml:space="preserve">Comment 4. </w:t>
      </w:r>
      <w:r>
        <w:rPr>
          <w:rFonts w:eastAsia="Calibri" w:cs="Calibri" w:ascii="Liberation Serif" w:hAnsi="Liberation Serif"/>
          <w:i/>
          <w:iCs/>
          <w:color w:val="404040"/>
          <w:sz w:val="22"/>
          <w:szCs w:val="22"/>
        </w:rPr>
        <w:t>Clarify ROPE reporting. The manuscript should be internally consistent about whether the reported ROPE value represents the proportion of the posterior distribution inside or outside the region of practical equivalence. In some places, the Methods text appears to describe the percentage outside the ROPE, whereas the Results and tables appear to report the percentage within the ROPE. Please choose one convention and apply it consistently. Reporting the proportion within the ROPE may be the most clinically intuitive for outcomes where the intended interpretation is practical equivalence.</w:t>
      </w:r>
    </w:p>
    <w:p>
      <w:pPr>
        <w:pStyle w:val="Normal"/>
        <w:spacing w:before="0" w:after="120"/>
        <w:rPr>
          <w:rFonts w:ascii="Liberation Serif" w:hAnsi="Liberation Serif"/>
        </w:rPr>
      </w:pPr>
      <w:r>
        <w:rPr>
          <w:rFonts w:eastAsia="Calibri" w:cs="Calibri" w:ascii="Liberation Serif" w:hAnsi="Liberation Serif"/>
          <w:b/>
          <w:bCs/>
          <w:sz w:val="22"/>
          <w:szCs w:val="22"/>
        </w:rPr>
        <w:t xml:space="preserve">Response: </w:t>
      </w:r>
      <w:r>
        <w:rPr>
          <w:rFonts w:eastAsia="Calibri" w:cs="Calibri" w:ascii="Liberation Serif" w:hAnsi="Liberation Serif"/>
          <w:sz w:val="22"/>
          <w:szCs w:val="22"/>
        </w:rPr>
        <w:t>We thank the reviewer for catching this. The Methods sentence was in error; the Results and tables were correct. We have adopted the proportion within the ROPE as the single convention, as the reviewer suggests.</w:t>
      </w:r>
    </w:p>
    <w:p>
      <w:pPr>
        <w:pStyle w:val="Normal"/>
        <w:spacing w:before="0" w:after="120"/>
        <w:rPr>
          <w:rFonts w:ascii="Liberation Serif" w:hAnsi="Liberation Serif"/>
        </w:rPr>
      </w:pPr>
      <w:r>
        <w:rPr>
          <w:rFonts w:eastAsia="Calibri" w:cs="Calibri" w:ascii="Liberation Serif" w:hAnsi="Liberation Serif"/>
          <w:sz w:val="22"/>
          <w:szCs w:val="22"/>
        </w:rPr>
        <w:t>The Methods (Computation and Description of the Posterior Distribution) now reads “the percentage of the posterior distribution falling within a predefined region of practical equivalence (ROPE),” and the corresponding column in Tables 2 and 3 has been relabeled “% of posterior within ROPE” so that the direction is explicit in the display item itself rather than inferred from the footnote.</w:t>
      </w:r>
    </w:p>
    <w:p>
      <w:pPr>
        <w:pStyle w:val="Normal"/>
        <w:spacing w:before="240" w:after="100"/>
        <w:ind w:start="360"/>
        <w:rPr>
          <w:rFonts w:ascii="Liberation Serif" w:hAnsi="Liberation Serif"/>
        </w:rPr>
      </w:pPr>
      <w:r>
        <w:rPr>
          <w:rFonts w:eastAsia="Calibri" w:cs="Calibri" w:ascii="Liberation Serif" w:hAnsi="Liberation Serif"/>
          <w:b/>
          <w:bCs/>
          <w:i/>
          <w:iCs/>
          <w:sz w:val="22"/>
          <w:szCs w:val="22"/>
        </w:rPr>
        <w:t xml:space="preserve">Comment 5. </w:t>
      </w:r>
      <w:r>
        <w:rPr>
          <w:rFonts w:eastAsia="Calibri" w:cs="Calibri" w:ascii="Liberation Serif" w:hAnsi="Liberation Serif"/>
          <w:i/>
          <w:iCs/>
          <w:color w:val="404040"/>
          <w:sz w:val="22"/>
          <w:szCs w:val="22"/>
        </w:rPr>
        <w:t>Clarify the handling of NIHSS in the adjustment strategy. Table 1 shows baseline differences in NIHSS and GCS by laterality. The decision to adjust for GCS but not NIHSS is reasonable, particularly because NIHSS is partly determined by lateralized deficits such as aphasia and neglect. However, this rationale should be stated explicitly, either in the Methods or Supplementary Appendix. A brief explanation would help readers understand that excluding NIHSS from the primary adjustment set was intentional rather than an omission.</w:t>
      </w:r>
    </w:p>
    <w:p>
      <w:pPr>
        <w:pStyle w:val="Normal"/>
        <w:spacing w:before="0" w:after="120"/>
        <w:rPr>
          <w:rFonts w:ascii="Liberation Serif" w:hAnsi="Liberation Serif"/>
        </w:rPr>
      </w:pPr>
      <w:r>
        <w:rPr>
          <w:rFonts w:eastAsia="Calibri" w:cs="Calibri" w:ascii="Liberation Serif" w:hAnsi="Liberation Serif"/>
          <w:b/>
          <w:bCs/>
          <w:sz w:val="22"/>
          <w:szCs w:val="22"/>
        </w:rPr>
        <w:t xml:space="preserve">Response: </w:t>
      </w:r>
      <w:r>
        <w:rPr>
          <w:rFonts w:eastAsia="Calibri" w:cs="Calibri" w:ascii="Liberation Serif" w:hAnsi="Liberation Serif"/>
          <w:sz w:val="22"/>
          <w:szCs w:val="22"/>
        </w:rPr>
        <w:t>We agree, and the reviewer has stated our reasoning precisely. The rationale is given explicitly in the Covariate Selection section of the Supplemental Appendix, which notes that NIHSS was omitted from the adjustment set for two reasons: it is strongly correlated with admission GCS, both being quantitative summaries of the neurological examination; and NIHSS is itself partly determined by lateralized deficits such as aphasia and neglect, so conditioning on it would adjust away part of the exposure under study.</w:t>
      </w:r>
    </w:p>
    <w:p>
      <w:pPr>
        <w:pStyle w:val="Normal"/>
        <w:spacing w:before="0" w:after="120"/>
        <w:rPr>
          <w:rFonts w:ascii="Liberation Serif" w:hAnsi="Liberation Serif"/>
        </w:rPr>
      </w:pPr>
      <w:r>
        <w:rPr>
          <w:rFonts w:eastAsia="Calibri" w:cs="Calibri" w:ascii="Liberation Serif" w:hAnsi="Liberation Serif"/>
          <w:sz w:val="22"/>
          <w:szCs w:val="22"/>
        </w:rPr>
        <w:t>We have chosen to keep this in the Supplemental Appendix, alongside the DAGs and the remainder of the covariate-selection rationale, in the interest of main-text length, but would be glad to move it to the Methods if the editors prefer.</w:t>
      </w:r>
    </w:p>
    <w:p>
      <w:pPr>
        <w:pStyle w:val="Normal"/>
        <w:spacing w:before="240" w:after="100"/>
        <w:ind w:start="360"/>
        <w:rPr>
          <w:rFonts w:ascii="Liberation Serif" w:hAnsi="Liberation Serif"/>
        </w:rPr>
      </w:pPr>
      <w:r>
        <w:rPr>
          <w:rFonts w:eastAsia="Calibri" w:cs="Calibri" w:ascii="Liberation Serif" w:hAnsi="Liberation Serif"/>
          <w:b/>
          <w:bCs/>
          <w:i/>
          <w:iCs/>
          <w:sz w:val="22"/>
          <w:szCs w:val="22"/>
        </w:rPr>
        <w:t xml:space="preserve">Comment 6. </w:t>
      </w:r>
      <w:r>
        <w:rPr>
          <w:rFonts w:eastAsia="Calibri" w:cs="Calibri" w:ascii="Liberation Serif" w:hAnsi="Liberation Serif"/>
          <w:i/>
          <w:iCs/>
          <w:color w:val="404040"/>
          <w:sz w:val="22"/>
          <w:szCs w:val="22"/>
        </w:rPr>
        <w:t>Clarify the neurosurgical intervention composite and the role of EVD. The primary outcome combines hematoma evacuation, decompressive craniectomy, and other craniotomy, while EVD is analyzed separately. This is clinically reasonable, but it would be helpful to briefly clarify why EVD was not included in the primary composite. Since EVD placement is often driven by IVH and hydrocephalus rather than hematoma evacuation candidacy per se, a short explanation would improve interpretability.</w:t>
      </w:r>
    </w:p>
    <w:p>
      <w:pPr>
        <w:pStyle w:val="Normal"/>
        <w:spacing w:before="0" w:after="120"/>
        <w:rPr>
          <w:rFonts w:ascii="Liberation Serif" w:hAnsi="Liberation Serif"/>
        </w:rPr>
      </w:pPr>
      <w:r>
        <w:rPr>
          <w:rFonts w:eastAsia="Calibri" w:cs="Calibri" w:ascii="Liberation Serif" w:hAnsi="Liberation Serif"/>
          <w:b/>
          <w:bCs/>
          <w:sz w:val="22"/>
          <w:szCs w:val="22"/>
        </w:rPr>
        <w:t xml:space="preserve">Response: </w:t>
      </w:r>
      <w:r>
        <w:rPr>
          <w:rFonts w:eastAsia="Calibri" w:cs="Calibri" w:ascii="Liberation Serif" w:hAnsi="Liberation Serif"/>
          <w:sz w:val="22"/>
          <w:szCs w:val="22"/>
        </w:rPr>
        <w:t>We have added this explanation to the Exposures and Outcomes section:</w:t>
      </w:r>
    </w:p>
    <w:p>
      <w:pPr>
        <w:pStyle w:val="Normal"/>
        <w:spacing w:before="80" w:after="160"/>
        <w:ind w:start="576" w:end="360"/>
        <w:rPr>
          <w:rFonts w:ascii="Liberation Serif" w:hAnsi="Liberation Serif"/>
        </w:rPr>
      </w:pPr>
      <w:r>
        <w:rPr>
          <w:rFonts w:eastAsia="Calibri" w:cs="Calibri" w:ascii="Liberation Serif" w:hAnsi="Liberation Serif"/>
          <w:i/>
          <w:iCs/>
          <w:sz w:val="21"/>
          <w:szCs w:val="21"/>
        </w:rPr>
        <w:t>“</w:t>
      </w:r>
      <w:r>
        <w:rPr>
          <w:rFonts w:eastAsia="Calibri" w:cs="Calibri" w:ascii="Liberation Serif" w:hAnsi="Liberation Serif"/>
          <w:i/>
          <w:iCs/>
          <w:sz w:val="21"/>
          <w:szCs w:val="21"/>
        </w:rPr>
        <w:t>Receipt of an EVD was considered as a distinct outcome from neurosurgical intervention because the decision-making for each is slightly different. Placement of an EVD involves consideration of the presence of hydrocephalus and IVH, while neurosurgical intervention is affected by hematoma location, volume, midline shift, and other factors.”</w:t>
      </w:r>
    </w:p>
    <w:p>
      <w:pPr>
        <w:pStyle w:val="Normal"/>
        <w:spacing w:before="240" w:after="100"/>
        <w:ind w:start="360"/>
        <w:rPr>
          <w:rFonts w:ascii="Liberation Serif" w:hAnsi="Liberation Serif"/>
        </w:rPr>
      </w:pPr>
      <w:r>
        <w:rPr>
          <w:rFonts w:eastAsia="Calibri" w:cs="Calibri" w:ascii="Liberation Serif" w:hAnsi="Liberation Serif"/>
          <w:b/>
          <w:bCs/>
          <w:i/>
          <w:iCs/>
          <w:sz w:val="22"/>
          <w:szCs w:val="22"/>
        </w:rPr>
        <w:t xml:space="preserve">Comment 7. </w:t>
      </w:r>
      <w:r>
        <w:rPr>
          <w:rFonts w:eastAsia="Calibri" w:cs="Calibri" w:ascii="Liberation Serif" w:hAnsi="Liberation Serif"/>
          <w:i/>
          <w:iCs/>
          <w:color w:val="404040"/>
          <w:sz w:val="22"/>
          <w:szCs w:val="22"/>
        </w:rPr>
        <w:t>Revise the figure descriptions and display-item terminology. Figure 1 is a strong addition and improves clinical interpretability by presenting adjusted absolute probabilities. However, the figure legend should not refer to a random intercept for “study center” if the primary model used a random intercept for study cohort or enrolling study. Please revise this wording to avoid implying that site-level clustering was included in the pooled primary model. Site-level clustering was addressed only in the ATACH-2 sensitivity analysis, which is appropriate but should remain clearly distinguished from the primary model.</w:t>
      </w:r>
    </w:p>
    <w:p>
      <w:pPr>
        <w:pStyle w:val="Normal"/>
        <w:spacing w:before="0" w:after="120"/>
        <w:rPr>
          <w:rFonts w:ascii="Liberation Serif" w:hAnsi="Liberation Serif"/>
        </w:rPr>
      </w:pPr>
      <w:r>
        <w:rPr>
          <w:rFonts w:eastAsia="Calibri" w:cs="Calibri" w:ascii="Liberation Serif" w:hAnsi="Liberation Serif"/>
          <w:b/>
          <w:bCs/>
          <w:sz w:val="22"/>
          <w:szCs w:val="22"/>
        </w:rPr>
        <w:t xml:space="preserve">Response: </w:t>
      </w:r>
      <w:r>
        <w:rPr>
          <w:rFonts w:eastAsia="Calibri" w:cs="Calibri" w:ascii="Liberation Serif" w:hAnsi="Liberation Serif"/>
          <w:sz w:val="22"/>
          <w:szCs w:val="22"/>
        </w:rPr>
        <w:t>We appreciate the reviewer flagging this, as the distinction is important and the earlier wording was imprecise. All reference to a random intercept for “study center” has been removed.</w:t>
      </w:r>
    </w:p>
    <w:p>
      <w:pPr>
        <w:pStyle w:val="Normal"/>
        <w:spacing w:before="0" w:after="120"/>
        <w:rPr>
          <w:rFonts w:ascii="Liberation Serif" w:hAnsi="Liberation Serif"/>
        </w:rPr>
      </w:pPr>
      <w:r>
        <w:rPr>
          <w:rFonts w:eastAsia="Calibri" w:cs="Calibri" w:ascii="Liberation Serif" w:hAnsi="Liberation Serif"/>
          <w:sz w:val="22"/>
          <w:szCs w:val="22"/>
        </w:rPr>
        <w:t>The Figure 1 legend has been rewritten to describe both panels and to state affirmatively that the pooled primary model includes a random intercept for the enrolling study cohort (ATACH-2 versus ERICH), not for study site. The Statistical Analysis section already notes that site-level identifiers were unavailable for ERICH, and the ATACH-2-restricted sensitivity analysis is reported in a separate paragraph of the Results and labeled as such, so that it remains clearly distinguished from the pooled primary model.</w:t>
      </w:r>
    </w:p>
    <w:p>
      <w:pPr>
        <w:pStyle w:val="Normal"/>
        <w:spacing w:before="240" w:after="100"/>
        <w:ind w:start="360"/>
        <w:rPr>
          <w:rFonts w:ascii="Liberation Serif" w:hAnsi="Liberation Serif"/>
        </w:rPr>
      </w:pPr>
      <w:r>
        <w:rPr>
          <w:rFonts w:eastAsia="Calibri" w:cs="Calibri" w:ascii="Liberation Serif" w:hAnsi="Liberation Serif"/>
          <w:b/>
          <w:bCs/>
          <w:i/>
          <w:iCs/>
          <w:sz w:val="22"/>
          <w:szCs w:val="22"/>
        </w:rPr>
        <w:t xml:space="preserve">Comment 8. </w:t>
      </w:r>
      <w:r>
        <w:rPr>
          <w:rFonts w:eastAsia="Calibri" w:cs="Calibri" w:ascii="Liberation Serif" w:hAnsi="Liberation Serif"/>
          <w:i/>
          <w:iCs/>
          <w:color w:val="404040"/>
          <w:sz w:val="22"/>
          <w:szCs w:val="22"/>
        </w:rPr>
        <w:t>Correct figure numbering and figure references. The Results section appears to refer to “Figure 3” for the 90-day mRS distributions, while the manuscript includes Figure 1 and Figure 2. Please correct this reference to avoid confusion.</w:t>
      </w:r>
    </w:p>
    <w:p>
      <w:pPr>
        <w:pStyle w:val="Normal"/>
        <w:spacing w:before="0" w:after="120"/>
        <w:rPr>
          <w:rFonts w:ascii="Liberation Serif" w:hAnsi="Liberation Serif"/>
        </w:rPr>
      </w:pPr>
      <w:r>
        <w:rPr>
          <w:rFonts w:eastAsia="Calibri" w:cs="Calibri" w:ascii="Liberation Serif" w:hAnsi="Liberation Serif"/>
          <w:b/>
          <w:bCs/>
          <w:sz w:val="22"/>
          <w:szCs w:val="22"/>
        </w:rPr>
        <w:t xml:space="preserve">Response: </w:t>
      </w:r>
      <w:r>
        <w:rPr>
          <w:rFonts w:eastAsia="Calibri" w:cs="Calibri" w:ascii="Liberation Serif" w:hAnsi="Liberation Serif"/>
          <w:sz w:val="22"/>
          <w:szCs w:val="22"/>
        </w:rPr>
        <w:t>Corrected. The Results now refer to Figure 2 for the covariate-adjusted marginal predicted cumulative distributions of 90-day mRS. All figure callouts have been re-checked against the display items.</w:t>
      </w:r>
    </w:p>
    <w:p>
      <w:pPr>
        <w:pStyle w:val="Normal"/>
        <w:spacing w:before="280" w:after="120"/>
        <w:rPr>
          <w:rFonts w:ascii="Liberation Serif" w:hAnsi="Liberation Serif"/>
        </w:rPr>
      </w:pPr>
      <w:r>
        <w:rPr>
          <w:rFonts w:eastAsia="Calibri" w:cs="Calibri" w:ascii="Liberation Serif" w:hAnsi="Liberation Serif"/>
          <w:b/>
          <w:bCs/>
          <w:sz w:val="23"/>
          <w:szCs w:val="23"/>
        </w:rPr>
        <w:t>Minor Comments</w:t>
      </w:r>
    </w:p>
    <w:p>
      <w:pPr>
        <w:pStyle w:val="Normal"/>
        <w:spacing w:before="240" w:after="100"/>
        <w:ind w:start="360"/>
        <w:rPr>
          <w:rFonts w:ascii="Liberation Serif" w:hAnsi="Liberation Serif"/>
        </w:rPr>
      </w:pPr>
      <w:r>
        <w:rPr>
          <w:rFonts w:eastAsia="Calibri" w:cs="Calibri" w:ascii="Liberation Serif" w:hAnsi="Liberation Serif"/>
          <w:b/>
          <w:bCs/>
          <w:i/>
          <w:iCs/>
          <w:sz w:val="22"/>
          <w:szCs w:val="22"/>
        </w:rPr>
        <w:t xml:space="preserve">Comment 1. </w:t>
      </w:r>
      <w:r>
        <w:rPr>
          <w:rFonts w:eastAsia="Calibri" w:cs="Calibri" w:ascii="Liberation Serif" w:hAnsi="Liberation Serif"/>
          <w:i/>
          <w:iCs/>
          <w:color w:val="404040"/>
          <w:sz w:val="22"/>
          <w:szCs w:val="22"/>
        </w:rPr>
        <w:t>Editorial cleanup of tracked changes and duplicate text. Please ensure that the final marked and clean manuscript files do not contain remnants of earlier versions, duplicated paragraphs, old tables, or tracking artifacts. The tracked version contains several artifacts that may simply reflect the markup process, but the final files should be carefully cleaned before review.</w:t>
      </w:r>
    </w:p>
    <w:p>
      <w:pPr>
        <w:pStyle w:val="Normal"/>
        <w:spacing w:before="0" w:after="120"/>
        <w:rPr>
          <w:rFonts w:ascii="Liberation Serif" w:hAnsi="Liberation Serif"/>
        </w:rPr>
      </w:pPr>
      <w:r>
        <w:rPr>
          <w:rFonts w:eastAsia="Calibri" w:cs="Calibri" w:ascii="Liberation Serif" w:hAnsi="Liberation Serif"/>
          <w:b/>
          <w:bCs/>
          <w:sz w:val="22"/>
          <w:szCs w:val="22"/>
        </w:rPr>
        <w:t xml:space="preserve">Response: </w:t>
      </w:r>
      <w:r>
        <w:rPr>
          <w:rFonts w:eastAsia="Calibri" w:cs="Calibri" w:ascii="Liberation Serif" w:hAnsi="Liberation Serif"/>
          <w:sz w:val="22"/>
          <w:szCs w:val="22"/>
        </w:rPr>
        <w:t>We apologize for the state of the previously submitted marked file. The manuscript is produced from a scripted, reproducible pipeline, and both the clean and marked files have been regenerated from source for this submission. We have verified that the clean file contains no tracked-change markup, no comments, no duplicated paragraphs, and no superseded tables.</w:t>
      </w:r>
    </w:p>
    <w:p>
      <w:pPr>
        <w:pStyle w:val="Normal"/>
        <w:spacing w:before="0" w:after="120"/>
        <w:rPr>
          <w:rFonts w:ascii="Liberation Serif" w:hAnsi="Liberation Serif"/>
        </w:rPr>
      </w:pPr>
      <w:r>
        <w:rPr>
          <w:rFonts w:eastAsia="Calibri" w:cs="Calibri" w:ascii="Liberation Serif" w:hAnsi="Liberation Serif"/>
          <w:sz w:val="22"/>
          <w:szCs w:val="22"/>
        </w:rPr>
        <w:t>We have additionally corrected the author affiliation superscripts, which were incomplete in the previous version.</w:t>
      </w:r>
    </w:p>
    <w:p>
      <w:pPr>
        <w:pStyle w:val="Normal"/>
        <w:spacing w:before="240" w:after="100"/>
        <w:ind w:start="360"/>
        <w:rPr>
          <w:rFonts w:ascii="Liberation Serif" w:hAnsi="Liberation Serif"/>
        </w:rPr>
      </w:pPr>
      <w:r>
        <w:rPr>
          <w:rFonts w:eastAsia="Calibri" w:cs="Calibri" w:ascii="Liberation Serif" w:hAnsi="Liberation Serif"/>
          <w:b/>
          <w:bCs/>
          <w:i/>
          <w:iCs/>
          <w:sz w:val="22"/>
          <w:szCs w:val="22"/>
        </w:rPr>
        <w:t xml:space="preserve">Comment 2. </w:t>
      </w:r>
      <w:r>
        <w:rPr>
          <w:rFonts w:eastAsia="Calibri" w:cs="Calibri" w:ascii="Liberation Serif" w:hAnsi="Liberation Serif"/>
          <w:i/>
          <w:iCs/>
          <w:color w:val="404040"/>
          <w:sz w:val="22"/>
          <w:szCs w:val="22"/>
        </w:rPr>
        <w:t>Correct typographical errors. Please correct minor typographical errors such as “onducted” in the Methods section and “&lt;72 from symptom onset,” which should read “&lt;72 hours from symptom onset.”</w:t>
      </w:r>
    </w:p>
    <w:p>
      <w:pPr>
        <w:pStyle w:val="Normal"/>
        <w:spacing w:before="0" w:after="120"/>
        <w:rPr>
          <w:rFonts w:ascii="Liberation Serif" w:hAnsi="Liberation Serif"/>
        </w:rPr>
      </w:pPr>
      <w:r>
        <w:rPr>
          <w:rFonts w:eastAsia="Calibri" w:cs="Calibri" w:ascii="Liberation Serif" w:hAnsi="Liberation Serif"/>
          <w:b/>
          <w:bCs/>
          <w:sz w:val="22"/>
          <w:szCs w:val="22"/>
        </w:rPr>
        <w:t xml:space="preserve">Response: </w:t>
      </w:r>
      <w:r>
        <w:rPr>
          <w:rFonts w:eastAsia="Calibri" w:cs="Calibri" w:ascii="Liberation Serif" w:hAnsi="Liberation Serif"/>
          <w:sz w:val="22"/>
          <w:szCs w:val="22"/>
        </w:rPr>
        <w:t>Both have been corrected, and the full manuscript has been proofread. The Methods now read “a large, multicenter, prospective observational study conducted in the United States” and “early WLST (defined as &lt; 72 hours from symptom onset).”</w:t>
      </w:r>
    </w:p>
    <w:p>
      <w:pPr>
        <w:pStyle w:val="Normal"/>
        <w:spacing w:before="240" w:after="100"/>
        <w:ind w:start="360"/>
        <w:rPr>
          <w:rFonts w:ascii="Liberation Serif" w:hAnsi="Liberation Serif"/>
        </w:rPr>
      </w:pPr>
      <w:r>
        <w:rPr>
          <w:rFonts w:eastAsia="Calibri" w:cs="Calibri" w:ascii="Liberation Serif" w:hAnsi="Liberation Serif"/>
          <w:b/>
          <w:bCs/>
          <w:i/>
          <w:iCs/>
          <w:sz w:val="22"/>
          <w:szCs w:val="22"/>
        </w:rPr>
        <w:t xml:space="preserve">Comment 3. </w:t>
      </w:r>
      <w:r>
        <w:rPr>
          <w:rFonts w:eastAsia="Calibri" w:cs="Calibri" w:ascii="Liberation Serif" w:hAnsi="Liberation Serif"/>
          <w:i/>
          <w:iCs/>
          <w:color w:val="404040"/>
          <w:sz w:val="22"/>
          <w:szCs w:val="22"/>
        </w:rPr>
        <w:t>Use consistent terminology for laterality. The manuscript uses both “hemispheric laterality” and “hemispheric lateralization.” I would recommend using “hemispheric laterality” consistently unless a specific distinction is intended.</w:t>
      </w:r>
    </w:p>
    <w:p>
      <w:pPr>
        <w:pStyle w:val="Normal"/>
        <w:spacing w:before="0" w:after="120"/>
        <w:rPr>
          <w:rFonts w:ascii="Liberation Serif" w:hAnsi="Liberation Serif"/>
        </w:rPr>
      </w:pPr>
      <w:r>
        <w:rPr>
          <w:rFonts w:eastAsia="Calibri" w:cs="Calibri" w:ascii="Liberation Serif" w:hAnsi="Liberation Serif"/>
          <w:b/>
          <w:bCs/>
          <w:sz w:val="22"/>
          <w:szCs w:val="22"/>
        </w:rPr>
        <w:t xml:space="preserve">Response: </w:t>
      </w:r>
      <w:r>
        <w:rPr>
          <w:rFonts w:eastAsia="Calibri" w:cs="Calibri" w:ascii="Liberation Serif" w:hAnsi="Liberation Serif"/>
          <w:sz w:val="22"/>
          <w:szCs w:val="22"/>
        </w:rPr>
        <w:t>No distinction was intended. “Hemispheric laterality” is now used consistently throughout the title, abstract, and body text. The only remaining instances of “lateralization” occur within the titles of cited articles in the reference list, which we have left unaltered.</w:t>
      </w:r>
    </w:p>
    <w:p>
      <w:pPr>
        <w:pStyle w:val="Normal"/>
        <w:spacing w:before="240" w:after="100"/>
        <w:ind w:start="360"/>
        <w:rPr>
          <w:rFonts w:ascii="Liberation Serif" w:hAnsi="Liberation Serif"/>
        </w:rPr>
      </w:pPr>
      <w:r>
        <w:rPr>
          <w:rFonts w:eastAsia="Calibri" w:cs="Calibri" w:ascii="Liberation Serif" w:hAnsi="Liberation Serif"/>
          <w:b/>
          <w:bCs/>
          <w:i/>
          <w:iCs/>
          <w:sz w:val="22"/>
          <w:szCs w:val="22"/>
        </w:rPr>
        <w:t xml:space="preserve">Comment 4. </w:t>
      </w:r>
      <w:r>
        <w:rPr>
          <w:rFonts w:eastAsia="Calibri" w:cs="Calibri" w:ascii="Liberation Serif" w:hAnsi="Liberation Serif"/>
          <w:i/>
          <w:iCs/>
          <w:color w:val="404040"/>
          <w:sz w:val="22"/>
          <w:szCs w:val="22"/>
        </w:rPr>
        <w:t>Use cautious language around equivalence. Terms such as “equivalent” can imply a formal equivalence analysis. Given the use of ROPE and posterior probabilities, it may be clearer to state that there was “no clinically meaningful difference” or that estimates were “largely within the prespecified region of practical equivalence,” where appropriate.</w:t>
      </w:r>
    </w:p>
    <w:p>
      <w:pPr>
        <w:pStyle w:val="Normal"/>
        <w:spacing w:before="0" w:after="120"/>
        <w:rPr>
          <w:rFonts w:ascii="Liberation Serif" w:hAnsi="Liberation Serif"/>
        </w:rPr>
      </w:pPr>
      <w:r>
        <w:rPr>
          <w:rFonts w:eastAsia="Calibri" w:cs="Calibri" w:ascii="Liberation Serif" w:hAnsi="Liberation Serif"/>
          <w:b/>
          <w:bCs/>
          <w:sz w:val="22"/>
          <w:szCs w:val="22"/>
        </w:rPr>
        <w:t xml:space="preserve">Response: </w:t>
      </w:r>
      <w:r>
        <w:rPr>
          <w:rFonts w:eastAsia="Calibri" w:cs="Calibri" w:ascii="Liberation Serif" w:hAnsi="Liberation Serif"/>
          <w:sz w:val="22"/>
          <w:szCs w:val="22"/>
        </w:rPr>
        <w:t>We agree and have removed “equivalent” and “equivalence” from the manuscript where they described findings. In the Introduction, the description of the prior ischemic stroke literature now reads “comparable, and in some domains better, for patients with left hemispheric injuries.” In the Discussion, “This equivalence aligns with previous literature” now reads “This finding aligns with previous literature.”</w:t>
      </w:r>
    </w:p>
    <w:p>
      <w:pPr>
        <w:pStyle w:val="Normal"/>
        <w:spacing w:before="0" w:after="120"/>
        <w:rPr>
          <w:rFonts w:ascii="Liberation Serif" w:hAnsi="Liberation Serif"/>
        </w:rPr>
      </w:pPr>
      <w:r>
        <w:rPr>
          <w:rFonts w:eastAsia="Calibri" w:cs="Calibri" w:ascii="Liberation Serif" w:hAnsi="Liberation Serif"/>
          <w:sz w:val="22"/>
          <w:szCs w:val="22"/>
        </w:rPr>
        <w:t>Where our own estimates are described, we now state that there was no clinically meaningful difference, or that the posterior distributions fell largely within the prespecified region of practical equivalence. “Region of practical equivalence” is retained as the name of the prespecified interval.</w:t>
      </w:r>
    </w:p>
    <w:p>
      <w:pPr>
        <w:pStyle w:val="Normal"/>
        <w:spacing w:before="240" w:after="100"/>
        <w:ind w:start="360"/>
        <w:rPr>
          <w:rFonts w:ascii="Liberation Serif" w:hAnsi="Liberation Serif"/>
        </w:rPr>
      </w:pPr>
      <w:r>
        <w:rPr>
          <w:rFonts w:eastAsia="Calibri" w:cs="Calibri" w:ascii="Liberation Serif" w:hAnsi="Liberation Serif"/>
          <w:b/>
          <w:bCs/>
          <w:i/>
          <w:iCs/>
          <w:sz w:val="22"/>
          <w:szCs w:val="22"/>
        </w:rPr>
        <w:t xml:space="preserve">Comment 5. </w:t>
      </w:r>
      <w:r>
        <w:rPr>
          <w:rFonts w:eastAsia="Calibri" w:cs="Calibri" w:ascii="Liberation Serif" w:hAnsi="Liberation Serif"/>
          <w:i/>
          <w:iCs/>
          <w:color w:val="404040"/>
          <w:sz w:val="22"/>
          <w:szCs w:val="22"/>
        </w:rPr>
        <w:t>Refine the discussion of prior sensitivity. The prior-sensitivity analysis is now much more visible and helpful. I would suggest using language such as “directionally consistent across prior specifications” or “supporting robustness to prior choice” rather than stronger phrasing that could imply complete insensitivity to priors.</w:t>
      </w:r>
    </w:p>
    <w:p>
      <w:pPr>
        <w:pStyle w:val="Normal"/>
        <w:spacing w:before="0" w:after="120"/>
        <w:rPr>
          <w:rFonts w:ascii="Liberation Serif" w:hAnsi="Liberation Serif"/>
        </w:rPr>
      </w:pPr>
      <w:r>
        <w:rPr>
          <w:rFonts w:eastAsia="Calibri" w:cs="Calibri" w:ascii="Liberation Serif" w:hAnsi="Liberation Serif"/>
          <w:b/>
          <w:bCs/>
          <w:sz w:val="22"/>
          <w:szCs w:val="22"/>
        </w:rPr>
        <w:t xml:space="preserve">Response: </w:t>
      </w:r>
      <w:r>
        <w:rPr>
          <w:rFonts w:eastAsia="Calibri" w:cs="Calibri" w:ascii="Liberation Serif" w:hAnsi="Liberation Serif"/>
          <w:sz w:val="22"/>
          <w:szCs w:val="22"/>
        </w:rPr>
        <w:t>We have adopted the reviewer’s suggested language. The Abstract, Results, and Discussion now describe the association as “directionally consistent across ICH locations, study cohorts, and prior specifications,” and the functional outcome sensitivity analyses are described as “directionally consistent with these results” rather than simply “consistent.” We have avoided any phrasing implying insensitivity to prior choice, and the point estimates under each prior specification are reported in the Results and in Supplemental Tables 14–17 so that readers can judge the magnitude of the shift directly.</w:t>
      </w:r>
    </w:p>
    <w:p>
      <w:pPr>
        <w:pStyle w:val="Normal"/>
        <w:spacing w:before="240" w:after="100"/>
        <w:ind w:start="360"/>
        <w:rPr>
          <w:rFonts w:ascii="Liberation Serif" w:hAnsi="Liberation Serif"/>
        </w:rPr>
      </w:pPr>
      <w:r>
        <w:rPr>
          <w:rFonts w:eastAsia="Calibri" w:cs="Calibri" w:ascii="Liberation Serif" w:hAnsi="Liberation Serif"/>
          <w:b/>
          <w:bCs/>
          <w:i/>
          <w:iCs/>
          <w:sz w:val="22"/>
          <w:szCs w:val="22"/>
        </w:rPr>
        <w:t xml:space="preserve">Comment 6. </w:t>
      </w:r>
      <w:r>
        <w:rPr>
          <w:rFonts w:eastAsia="Calibri" w:cs="Calibri" w:ascii="Liberation Serif" w:hAnsi="Liberation Serif"/>
          <w:i/>
          <w:iCs/>
          <w:color w:val="404040"/>
          <w:sz w:val="22"/>
          <w:szCs w:val="22"/>
        </w:rPr>
        <w:t>Clarify the interpretation of EVD. The EVD association is more modest than the primary neurosurgical intervention finding. Please consider describing it as a modest association, particularly because the posterior probability of a substantial difference is lower than for the primary outcome.</w:t>
      </w:r>
    </w:p>
    <w:p>
      <w:pPr>
        <w:pStyle w:val="Normal"/>
        <w:spacing w:before="0" w:after="120"/>
        <w:rPr>
          <w:rFonts w:ascii="Liberation Serif" w:hAnsi="Liberation Serif"/>
        </w:rPr>
      </w:pPr>
      <w:r>
        <w:rPr>
          <w:rFonts w:eastAsia="Calibri" w:cs="Calibri" w:ascii="Liberation Serif" w:hAnsi="Liberation Serif"/>
          <w:b/>
          <w:bCs/>
          <w:sz w:val="22"/>
          <w:szCs w:val="22"/>
        </w:rPr>
        <w:t xml:space="preserve">Response: </w:t>
      </w:r>
      <w:r>
        <w:rPr>
          <w:rFonts w:eastAsia="Calibri" w:cs="Calibri" w:ascii="Liberation Serif" w:hAnsi="Liberation Serif"/>
          <w:sz w:val="22"/>
          <w:szCs w:val="22"/>
        </w:rPr>
        <w:t>We agree. The Discussion now states that patients with right hemispheric ICH had 1.22 times the adjusted odds of receiving an EVD, “although this was a more modest association.” The contrast the reviewer notes is reported in the Results: the posterior probability of a substantial difference (aOR &gt; 1.2) was 58.2% for EVD placement, compared with 99.3% for the primary neurosurgical intervention outcome.</w:t>
      </w:r>
    </w:p>
    <w:p>
      <w:pPr>
        <w:pStyle w:val="Normal"/>
        <w:spacing w:before="240" w:after="100"/>
        <w:ind w:start="360"/>
        <w:rPr>
          <w:rFonts w:ascii="Liberation Serif" w:hAnsi="Liberation Serif"/>
        </w:rPr>
      </w:pPr>
      <w:r>
        <w:rPr>
          <w:rFonts w:eastAsia="Calibri" w:cs="Calibri" w:ascii="Liberation Serif" w:hAnsi="Liberation Serif"/>
          <w:b/>
          <w:bCs/>
          <w:i/>
          <w:iCs/>
          <w:sz w:val="22"/>
          <w:szCs w:val="22"/>
        </w:rPr>
        <w:t xml:space="preserve">Comment 7. </w:t>
      </w:r>
      <w:r>
        <w:rPr>
          <w:rFonts w:eastAsia="Calibri" w:cs="Calibri" w:ascii="Liberation Serif" w:hAnsi="Liberation Serif"/>
          <w:i/>
          <w:iCs/>
          <w:color w:val="404040"/>
          <w:sz w:val="22"/>
          <w:szCs w:val="22"/>
        </w:rPr>
        <w:t>Improve the STROBE checklist presentation. The STROBE checklist should ideally be submitted in a clean, typed format with page, line, or section locations indicating where each item is addressed. A clean checklist would improve transparency and make the technical review easier.</w:t>
      </w:r>
    </w:p>
    <w:p>
      <w:pPr>
        <w:pStyle w:val="Normal"/>
        <w:spacing w:before="0" w:after="120"/>
        <w:rPr>
          <w:rFonts w:ascii="Liberation Serif" w:hAnsi="Liberation Serif"/>
        </w:rPr>
      </w:pPr>
      <w:r>
        <w:rPr>
          <w:rFonts w:eastAsia="Calibri" w:cs="Calibri" w:ascii="Liberation Serif" w:hAnsi="Liberation Serif"/>
          <w:b/>
          <w:bCs/>
          <w:sz w:val="22"/>
          <w:szCs w:val="22"/>
        </w:rPr>
        <w:t xml:space="preserve">Response: </w:t>
      </w:r>
      <w:r>
        <w:rPr>
          <w:rFonts w:eastAsia="Calibri" w:cs="Calibri" w:ascii="Liberation Serif" w:hAnsi="Liberation Serif"/>
          <w:sz w:val="22"/>
          <w:szCs w:val="22"/>
        </w:rPr>
        <w:t>We thank the reviewer and the editorial staff for the pointer to the editable checklist. A clean, typed STROBE checklist prepared from the AHA template is included with this submission, with page numbers indicating where each of the 22 items is addressed. Items addressed in the Supplemental Appendix are identified as such.</w:t>
      </w:r>
    </w:p>
    <w:p>
      <w:pPr>
        <w:pStyle w:val="Normal"/>
        <w:spacing w:before="240" w:after="100"/>
        <w:ind w:start="360"/>
        <w:rPr>
          <w:rFonts w:ascii="Liberation Serif" w:hAnsi="Liberation Serif"/>
        </w:rPr>
      </w:pPr>
      <w:r>
        <w:rPr>
          <w:rFonts w:eastAsia="Calibri" w:cs="Calibri" w:ascii="Liberation Serif" w:hAnsi="Liberation Serif"/>
          <w:b/>
          <w:bCs/>
          <w:i/>
          <w:iCs/>
          <w:sz w:val="22"/>
          <w:szCs w:val="22"/>
        </w:rPr>
        <w:t xml:space="preserve">Comment 8. </w:t>
      </w:r>
      <w:r>
        <w:rPr>
          <w:rFonts w:eastAsia="Calibri" w:cs="Calibri" w:ascii="Liberation Serif" w:hAnsi="Liberation Serif"/>
          <w:i/>
          <w:iCs/>
          <w:color w:val="404040"/>
          <w:sz w:val="22"/>
          <w:szCs w:val="22"/>
        </w:rPr>
        <w:t>Check reference formatting. Please review the reference list for completeness and formatting consistency. In particular, the ERICH protocol citation appears incomplete, and the Bayesian textbook citation appears incorrectly formatted. Also consider citing the current AHA/ASA ICH guideline if not already included, given the relevance of this work to ICH management and surgical decision-making.</w:t>
      </w:r>
    </w:p>
    <w:p>
      <w:pPr>
        <w:pStyle w:val="Normal"/>
        <w:spacing w:before="0" w:after="120"/>
        <w:rPr>
          <w:rFonts w:ascii="Liberation Serif" w:hAnsi="Liberation Serif"/>
        </w:rPr>
      </w:pPr>
      <w:r>
        <w:rPr>
          <w:rFonts w:eastAsia="Calibri" w:cs="Calibri" w:ascii="Liberation Serif" w:hAnsi="Liberation Serif"/>
          <w:b/>
          <w:bCs/>
          <w:sz w:val="22"/>
          <w:szCs w:val="22"/>
        </w:rPr>
        <w:t xml:space="preserve">Response: </w:t>
      </w:r>
      <w:r>
        <w:rPr>
          <w:rFonts w:eastAsia="Calibri" w:cs="Calibri" w:ascii="Liberation Serif" w:hAnsi="Liberation Serif"/>
          <w:sz w:val="22"/>
          <w:szCs w:val="22"/>
        </w:rPr>
        <w:t>The full reference list has been re-checked against source records and corrected. Specifically:</w:t>
      </w:r>
    </w:p>
    <w:p>
      <w:pPr>
        <w:pStyle w:val="ListParagraph"/>
        <w:numPr>
          <w:ilvl w:val="0"/>
          <w:numId w:val="3"/>
        </w:numPr>
        <w:spacing w:before="0" w:after="80"/>
        <w:rPr>
          <w:rFonts w:ascii="Liberation Serif" w:hAnsi="Liberation Serif"/>
        </w:rPr>
      </w:pPr>
      <w:r>
        <w:rPr>
          <w:rFonts w:eastAsia="Calibri" w:cs="Calibri" w:ascii="Liberation Serif" w:hAnsi="Liberation Serif"/>
          <w:sz w:val="22"/>
          <w:szCs w:val="22"/>
        </w:rPr>
        <w:t>The ERICH protocol citation is now complete: Woo D, Rosand J, Kidwell C, et al. The Ethnic/Racial Variations of Intracerebral Hemorrhage (ERICH) study protocol. Stroke. 2013;44(10):e120-e125.</w:t>
      </w:r>
    </w:p>
    <w:p>
      <w:pPr>
        <w:pStyle w:val="ListParagraph"/>
        <w:numPr>
          <w:ilvl w:val="0"/>
          <w:numId w:val="1"/>
        </w:numPr>
        <w:spacing w:before="0" w:after="80"/>
        <w:rPr>
          <w:rFonts w:ascii="Liberation Serif" w:hAnsi="Liberation Serif"/>
        </w:rPr>
      </w:pPr>
      <w:r>
        <w:rPr>
          <w:rFonts w:eastAsia="Calibri" w:cs="Calibri" w:ascii="Liberation Serif" w:hAnsi="Liberation Serif"/>
          <w:sz w:val="22"/>
          <w:szCs w:val="22"/>
        </w:rPr>
        <w:t>The Bayesian textbook citations have been reformatted per AMA 11th edition, with corrected author order and complete edition, publisher, and year fields: Johnson AA, Ott MQ, Dogucu M. Bayes Rules! An Introduction to Applied Bayesian Modeling. 1st ed. CRC Press; 2022; and McElreath R. Statistical Rethinking: A Bayesian Course with Examples in R and Stan. 2nd ed. CRC Press; 2020.</w:t>
      </w:r>
    </w:p>
    <w:p>
      <w:pPr>
        <w:pStyle w:val="ListParagraph"/>
        <w:numPr>
          <w:ilvl w:val="0"/>
          <w:numId w:val="1"/>
        </w:numPr>
        <w:spacing w:before="0" w:after="80"/>
        <w:rPr>
          <w:rFonts w:ascii="Liberation Serif" w:hAnsi="Liberation Serif"/>
        </w:rPr>
      </w:pPr>
      <w:r>
        <w:rPr>
          <w:rFonts w:eastAsia="Calibri" w:cs="Calibri" w:ascii="Liberation Serif" w:hAnsi="Liberation Serif"/>
          <w:sz w:val="22"/>
          <w:szCs w:val="22"/>
        </w:rPr>
        <w:t>The current AHA/ASA guideline has been added and is now cited in the Introduction alongside the other references on contemporary ICH management: Greenberg SM, Ziai WC, Cordonnier C, et al. 2022 Guideline for the Management of Patients With Spontaneous Intracerebral Hemorrhage: A Guideline From the American Heart Association/American Stroke Association. Stroke. 2022;53(7):e282-e361.</w:t>
      </w:r>
    </w:p>
    <w:p>
      <w:pPr>
        <w:pStyle w:val="ListParagraph"/>
        <w:numPr>
          <w:ilvl w:val="0"/>
          <w:numId w:val="1"/>
        </w:numPr>
        <w:spacing w:before="0" w:after="140"/>
        <w:rPr>
          <w:rFonts w:ascii="Liberation Serif" w:hAnsi="Liberation Serif"/>
        </w:rPr>
      </w:pPr>
      <w:r>
        <w:rPr>
          <w:rFonts w:eastAsia="Calibri" w:cs="Calibri" w:ascii="Liberation Serif" w:hAnsi="Liberation Serif"/>
          <w:sz w:val="22"/>
          <w:szCs w:val="22"/>
        </w:rPr>
        <w:t>The ATACH-2 design and rationale paper has also been added, so that the protocol and primary results of both source studies are now cited.</w:t>
      </w:r>
    </w:p>
    <w:p>
      <w:pPr>
        <w:pStyle w:val="Normal"/>
        <w:pBdr>
          <w:bottom w:val="single" w:sz="8" w:space="4" w:color="444444"/>
        </w:pBdr>
        <w:spacing w:before="400" w:after="160"/>
        <w:rPr>
          <w:rFonts w:ascii="Liberation Serif" w:hAnsi="Liberation Serif"/>
        </w:rPr>
      </w:pPr>
      <w:r>
        <w:rPr>
          <w:rFonts w:eastAsia="Calibri" w:cs="Calibri" w:ascii="Liberation Serif" w:hAnsi="Liberation Serif"/>
          <w:b/>
          <w:bCs/>
          <w:sz w:val="26"/>
          <w:szCs w:val="26"/>
        </w:rPr>
        <w:t>Reviewer #2</w:t>
      </w:r>
    </w:p>
    <w:p>
      <w:pPr>
        <w:pStyle w:val="Normal"/>
        <w:spacing w:before="240" w:after="100"/>
        <w:ind w:start="360"/>
        <w:rPr>
          <w:rFonts w:ascii="Liberation Serif" w:hAnsi="Liberation Serif"/>
        </w:rPr>
      </w:pPr>
      <w:r>
        <w:rPr>
          <w:rFonts w:eastAsia="Calibri" w:cs="Calibri" w:ascii="Liberation Serif" w:hAnsi="Liberation Serif"/>
          <w:b/>
          <w:bCs/>
          <w:i/>
          <w:iCs/>
          <w:sz w:val="22"/>
          <w:szCs w:val="22"/>
        </w:rPr>
        <w:t xml:space="preserve">Comment. </w:t>
      </w:r>
      <w:r>
        <w:rPr>
          <w:rFonts w:eastAsia="Calibri" w:cs="Calibri" w:ascii="Liberation Serif" w:hAnsi="Liberation Serif"/>
          <w:i/>
          <w:iCs/>
          <w:color w:val="404040"/>
          <w:sz w:val="22"/>
          <w:szCs w:val="22"/>
        </w:rPr>
        <w:t>Thank you. I have no further comments.</w:t>
      </w:r>
    </w:p>
    <w:p>
      <w:pPr>
        <w:pStyle w:val="Normal"/>
        <w:spacing w:before="0" w:after="120"/>
        <w:rPr>
          <w:rFonts w:ascii="Liberation Serif" w:hAnsi="Liberation Serif"/>
        </w:rPr>
      </w:pPr>
      <w:r>
        <w:rPr>
          <w:rFonts w:eastAsia="Calibri" w:cs="Calibri" w:ascii="Liberation Serif" w:hAnsi="Liberation Serif"/>
          <w:b/>
          <w:bCs/>
          <w:sz w:val="22"/>
          <w:szCs w:val="22"/>
        </w:rPr>
        <w:t xml:space="preserve">Response: </w:t>
      </w:r>
      <w:r>
        <w:rPr>
          <w:rFonts w:eastAsia="Calibri" w:cs="Calibri" w:ascii="Liberation Serif" w:hAnsi="Liberation Serif"/>
          <w:sz w:val="22"/>
          <w:szCs w:val="22"/>
        </w:rPr>
        <w:t>We thank the reviewer for the time and effort devoted to the previous round of review.</w:t>
      </w:r>
    </w:p>
    <w:p>
      <w:pPr>
        <w:pStyle w:val="Normal"/>
        <w:pBdr>
          <w:bottom w:val="single" w:sz="8" w:space="4" w:color="444444"/>
        </w:pBdr>
        <w:spacing w:before="400" w:after="160"/>
        <w:rPr>
          <w:rFonts w:ascii="Liberation Serif" w:hAnsi="Liberation Serif"/>
        </w:rPr>
      </w:pPr>
      <w:r>
        <w:rPr>
          <w:rFonts w:eastAsia="Calibri" w:cs="Calibri" w:ascii="Liberation Serif" w:hAnsi="Liberation Serif"/>
          <w:b/>
          <w:bCs/>
          <w:sz w:val="26"/>
          <w:szCs w:val="26"/>
        </w:rPr>
        <w:t>Reviewer #3 (Technical Review)</w:t>
      </w:r>
    </w:p>
    <w:p>
      <w:pPr>
        <w:pStyle w:val="Normal"/>
        <w:spacing w:before="0" w:after="140"/>
        <w:rPr>
          <w:rFonts w:ascii="Liberation Serif" w:hAnsi="Liberation Serif"/>
        </w:rPr>
      </w:pPr>
      <w:r>
        <w:rPr>
          <w:rFonts w:eastAsia="Calibri" w:cs="Calibri" w:ascii="Liberation Serif" w:hAnsi="Liberation Serif"/>
          <w:sz w:val="22"/>
          <w:szCs w:val="22"/>
        </w:rPr>
        <w:t>We thank the reviewer for the technical review and for the encouraging assessment of the reporting. Each point is addressed below.</w:t>
      </w:r>
    </w:p>
    <w:p>
      <w:pPr>
        <w:pStyle w:val="Normal"/>
        <w:spacing w:before="240" w:after="100"/>
        <w:ind w:start="360"/>
        <w:rPr>
          <w:rFonts w:ascii="Liberation Serif" w:hAnsi="Liberation Serif"/>
        </w:rPr>
      </w:pPr>
      <w:r>
        <w:rPr>
          <w:rFonts w:eastAsia="Calibri" w:cs="Calibri" w:ascii="Liberation Serif" w:hAnsi="Liberation Serif"/>
          <w:b/>
          <w:bCs/>
          <w:i/>
          <w:iCs/>
          <w:sz w:val="22"/>
          <w:szCs w:val="22"/>
        </w:rPr>
        <w:t xml:space="preserve">Comment 1. </w:t>
      </w:r>
      <w:r>
        <w:rPr>
          <w:rFonts w:eastAsia="Calibri" w:cs="Calibri" w:ascii="Liberation Serif" w:hAnsi="Liberation Serif"/>
          <w:i/>
          <w:iCs/>
          <w:color w:val="404040"/>
          <w:sz w:val="22"/>
          <w:szCs w:val="22"/>
        </w:rPr>
        <w:t>Abstract – include years/locations for ATACH-2 and ERICH.</w:t>
      </w:r>
    </w:p>
    <w:p>
      <w:pPr>
        <w:pStyle w:val="Normal"/>
        <w:spacing w:before="0" w:after="120"/>
        <w:rPr>
          <w:rFonts w:ascii="Liberation Serif" w:hAnsi="Liberation Serif"/>
        </w:rPr>
      </w:pPr>
      <w:r>
        <w:rPr>
          <w:rFonts w:eastAsia="Calibri" w:cs="Calibri" w:ascii="Liberation Serif" w:hAnsi="Liberation Serif"/>
          <w:b/>
          <w:bCs/>
          <w:sz w:val="22"/>
          <w:szCs w:val="22"/>
        </w:rPr>
        <w:t xml:space="preserve">Response: </w:t>
      </w:r>
      <w:r>
        <w:rPr>
          <w:rFonts w:eastAsia="Calibri" w:cs="Calibri" w:ascii="Liberation Serif" w:hAnsi="Liberation Serif"/>
          <w:sz w:val="22"/>
          <w:szCs w:val="22"/>
        </w:rPr>
        <w:t>Added. The Abstract Methods now read:</w:t>
      </w:r>
    </w:p>
    <w:p>
      <w:pPr>
        <w:pStyle w:val="Normal"/>
        <w:spacing w:before="80" w:after="160"/>
        <w:ind w:start="576" w:end="360"/>
        <w:rPr>
          <w:rFonts w:ascii="Liberation Serif" w:hAnsi="Liberation Serif"/>
        </w:rPr>
      </w:pPr>
      <w:r>
        <w:rPr>
          <w:rFonts w:eastAsia="Calibri" w:cs="Calibri" w:ascii="Liberation Serif" w:hAnsi="Liberation Serif"/>
          <w:i/>
          <w:iCs/>
          <w:sz w:val="21"/>
          <w:szCs w:val="21"/>
        </w:rPr>
        <w:t>“</w:t>
      </w:r>
      <w:r>
        <w:rPr>
          <w:rFonts w:eastAsia="Calibri" w:cs="Calibri" w:ascii="Liberation Serif" w:hAnsi="Liberation Serif"/>
          <w:i/>
          <w:iCs/>
          <w:sz w:val="21"/>
          <w:szCs w:val="21"/>
        </w:rPr>
        <w:t>This post-hoc analysis included 3477 patients with supratentorial ICH from two prospective studies: the ATACH-2 trial, conducted at 110 sites in the United States, Japan, China, Taiwan, South Korea, and Germany (2011–2015), and the ERICH study, conducted across the United States (2010–2015).”</w:t>
      </w:r>
    </w:p>
    <w:p>
      <w:pPr>
        <w:pStyle w:val="Normal"/>
        <w:spacing w:before="0" w:after="120"/>
        <w:rPr>
          <w:rFonts w:ascii="Liberation Serif" w:hAnsi="Liberation Serif"/>
        </w:rPr>
      </w:pPr>
      <w:r>
        <w:rPr>
          <w:rFonts w:eastAsia="Calibri" w:cs="Calibri" w:ascii="Liberation Serif" w:hAnsi="Liberation Serif"/>
          <w:b/>
          <w:bCs/>
          <w:sz w:val="22"/>
          <w:szCs w:val="22"/>
        </w:rPr>
        <w:t xml:space="preserve">Response: </w:t>
      </w:r>
      <w:r>
        <w:rPr>
          <w:rFonts w:eastAsia="Calibri" w:cs="Calibri" w:ascii="Liberation Serif" w:hAnsi="Liberation Serif"/>
          <w:sz w:val="22"/>
          <w:szCs w:val="22"/>
        </w:rPr>
        <w:t>The corresponding enrollment periods and settings are also stated in the Study Design and Participants section of the Methods, consistent with STROBE item 5.</w:t>
      </w:r>
    </w:p>
    <w:p>
      <w:pPr>
        <w:pStyle w:val="Normal"/>
        <w:spacing w:before="240" w:after="100"/>
        <w:ind w:start="360"/>
        <w:rPr>
          <w:rFonts w:ascii="Liberation Serif" w:hAnsi="Liberation Serif"/>
        </w:rPr>
      </w:pPr>
      <w:r>
        <w:rPr>
          <w:rFonts w:eastAsia="Calibri" w:cs="Calibri" w:ascii="Liberation Serif" w:hAnsi="Liberation Serif"/>
          <w:b/>
          <w:bCs/>
          <w:i/>
          <w:iCs/>
          <w:sz w:val="22"/>
          <w:szCs w:val="22"/>
        </w:rPr>
        <w:t xml:space="preserve">Comment 2. </w:t>
      </w:r>
      <w:r>
        <w:rPr>
          <w:rFonts w:eastAsia="Calibri" w:cs="Calibri" w:ascii="Liberation Serif" w:hAnsi="Liberation Serif"/>
          <w:i/>
          <w:iCs/>
          <w:color w:val="404040"/>
          <w:sz w:val="22"/>
          <w:szCs w:val="22"/>
        </w:rPr>
        <w:t>Abstract – include exposure when explaining hierarchical Bayesian regression models? E.g. Hierarchical Bayesian regression models estimated association between laterality of ICH and outcomes adjusted for...</w:t>
      </w:r>
    </w:p>
    <w:p>
      <w:pPr>
        <w:pStyle w:val="Normal"/>
        <w:spacing w:before="0" w:after="120"/>
        <w:rPr>
          <w:rFonts w:ascii="Liberation Serif" w:hAnsi="Liberation Serif"/>
        </w:rPr>
      </w:pPr>
      <w:r>
        <w:rPr>
          <w:rFonts w:eastAsia="Calibri" w:cs="Calibri" w:ascii="Liberation Serif" w:hAnsi="Liberation Serif"/>
          <w:b/>
          <w:bCs/>
          <w:sz w:val="22"/>
          <w:szCs w:val="22"/>
        </w:rPr>
        <w:t xml:space="preserve">Response: </w:t>
      </w:r>
      <w:r>
        <w:rPr>
          <w:rFonts w:eastAsia="Calibri" w:cs="Calibri" w:ascii="Liberation Serif" w:hAnsi="Liberation Serif"/>
          <w:sz w:val="22"/>
          <w:szCs w:val="22"/>
        </w:rPr>
        <w:t>Added. The sentence now reads: “Hierarchical Bayesian regression models estimating the association between ICH laterality and outcomes were adjusted for age, admission Glasgow Coma Scale, ICH location, ICH volume, and intraventricular hemorrhage.”</w:t>
      </w:r>
    </w:p>
    <w:p>
      <w:pPr>
        <w:pStyle w:val="Normal"/>
        <w:spacing w:before="240" w:after="100"/>
        <w:ind w:start="360"/>
        <w:rPr>
          <w:rFonts w:ascii="Liberation Serif" w:hAnsi="Liberation Serif"/>
        </w:rPr>
      </w:pPr>
      <w:r>
        <w:rPr>
          <w:rFonts w:eastAsia="Calibri" w:cs="Calibri" w:ascii="Liberation Serif" w:hAnsi="Liberation Serif"/>
          <w:b/>
          <w:bCs/>
          <w:i/>
          <w:iCs/>
          <w:sz w:val="22"/>
          <w:szCs w:val="22"/>
        </w:rPr>
        <w:t xml:space="preserve">Comment 3. </w:t>
      </w:r>
      <w:r>
        <w:rPr>
          <w:rFonts w:eastAsia="Calibri" w:cs="Calibri" w:ascii="Liberation Serif" w:hAnsi="Liberation Serif"/>
          <w:i/>
          <w:iCs/>
          <w:color w:val="404040"/>
          <w:sz w:val="22"/>
          <w:szCs w:val="22"/>
        </w:rPr>
        <w:t>Methods – include how mRS and EQ5D were assessed at 90 days. Can go in supplement if words are limited.</w:t>
      </w:r>
    </w:p>
    <w:p>
      <w:pPr>
        <w:pStyle w:val="Normal"/>
        <w:spacing w:before="0" w:after="120"/>
        <w:rPr>
          <w:rFonts w:ascii="Liberation Serif" w:hAnsi="Liberation Serif"/>
        </w:rPr>
      </w:pPr>
      <w:r>
        <w:rPr>
          <w:rFonts w:eastAsia="Calibri" w:cs="Calibri" w:ascii="Liberation Serif" w:hAnsi="Liberation Serif"/>
          <w:b/>
          <w:bCs/>
          <w:sz w:val="22"/>
          <w:szCs w:val="22"/>
        </w:rPr>
        <w:t xml:space="preserve">Response: </w:t>
      </w:r>
      <w:r>
        <w:rPr>
          <w:rFonts w:eastAsia="Calibri" w:cs="Calibri" w:ascii="Liberation Serif" w:hAnsi="Liberation Serif"/>
          <w:sz w:val="22"/>
          <w:szCs w:val="22"/>
        </w:rPr>
        <w:t>Added to the Exposures and Outcomes section: “In both studies, the mRS was obtained via a standardized, structured interview and the EQ-5D via a standardized questionnaire.” We kept this in the main text given its brevity.</w:t>
      </w:r>
    </w:p>
    <w:p>
      <w:pPr>
        <w:pStyle w:val="Normal"/>
        <w:spacing w:before="240" w:after="100"/>
        <w:ind w:start="360"/>
        <w:rPr>
          <w:rFonts w:ascii="Liberation Serif" w:hAnsi="Liberation Serif"/>
        </w:rPr>
      </w:pPr>
      <w:r>
        <w:rPr>
          <w:rFonts w:eastAsia="Calibri" w:cs="Calibri" w:ascii="Liberation Serif" w:hAnsi="Liberation Serif"/>
          <w:b/>
          <w:bCs/>
          <w:i/>
          <w:iCs/>
          <w:sz w:val="22"/>
          <w:szCs w:val="22"/>
        </w:rPr>
        <w:t xml:space="preserve">Comment 4. </w:t>
      </w:r>
      <w:r>
        <w:rPr>
          <w:rFonts w:eastAsia="Calibri" w:cs="Calibri" w:ascii="Liberation Serif" w:hAnsi="Liberation Serif"/>
          <w:i/>
          <w:iCs/>
          <w:color w:val="404040"/>
          <w:sz w:val="22"/>
          <w:szCs w:val="22"/>
        </w:rPr>
        <w:t>Methods – excellent use and description of DAGs to select confounding factors. Also great description of missing data treatment. Great to see!</w:t>
      </w:r>
    </w:p>
    <w:p>
      <w:pPr>
        <w:pStyle w:val="Normal"/>
        <w:spacing w:before="0" w:after="120"/>
        <w:rPr>
          <w:rFonts w:ascii="Liberation Serif" w:hAnsi="Liberation Serif"/>
        </w:rPr>
      </w:pPr>
      <w:r>
        <w:rPr>
          <w:rFonts w:eastAsia="Calibri" w:cs="Calibri" w:ascii="Liberation Serif" w:hAnsi="Liberation Serif"/>
          <w:b/>
          <w:bCs/>
          <w:sz w:val="22"/>
          <w:szCs w:val="22"/>
        </w:rPr>
        <w:t xml:space="preserve">Response: </w:t>
      </w:r>
      <w:r>
        <w:rPr>
          <w:rFonts w:eastAsia="Calibri" w:cs="Calibri" w:ascii="Liberation Serif" w:hAnsi="Liberation Serif"/>
          <w:sz w:val="22"/>
          <w:szCs w:val="22"/>
        </w:rPr>
        <w:t>We thank the reviewer. No change was made in response to this comment.</w:t>
      </w:r>
    </w:p>
    <w:p>
      <w:pPr>
        <w:pStyle w:val="Normal"/>
        <w:spacing w:before="240" w:after="100"/>
        <w:ind w:start="360"/>
        <w:rPr>
          <w:rFonts w:ascii="Liberation Serif" w:hAnsi="Liberation Serif"/>
        </w:rPr>
      </w:pPr>
      <w:r>
        <w:rPr>
          <w:rFonts w:eastAsia="Calibri" w:cs="Calibri" w:ascii="Liberation Serif" w:hAnsi="Liberation Serif"/>
          <w:b/>
          <w:bCs/>
          <w:i/>
          <w:iCs/>
          <w:sz w:val="22"/>
          <w:szCs w:val="22"/>
        </w:rPr>
        <w:t xml:space="preserve">Comment 5. </w:t>
      </w:r>
      <w:r>
        <w:rPr>
          <w:rFonts w:eastAsia="Calibri" w:cs="Calibri" w:ascii="Liberation Serif" w:hAnsi="Liberation Serif"/>
          <w:i/>
          <w:iCs/>
          <w:color w:val="404040"/>
          <w:sz w:val="22"/>
          <w:szCs w:val="22"/>
        </w:rPr>
        <w:t>State you report against STROBE per journal requirements.</w:t>
      </w:r>
    </w:p>
    <w:p>
      <w:pPr>
        <w:pStyle w:val="Normal"/>
        <w:spacing w:before="0" w:after="120"/>
        <w:rPr>
          <w:rFonts w:ascii="Liberation Serif" w:hAnsi="Liberation Serif"/>
        </w:rPr>
      </w:pPr>
      <w:r>
        <w:rPr>
          <w:rFonts w:eastAsia="Calibri" w:cs="Calibri" w:ascii="Liberation Serif" w:hAnsi="Liberation Serif"/>
          <w:b/>
          <w:bCs/>
          <w:sz w:val="22"/>
          <w:szCs w:val="22"/>
        </w:rPr>
        <w:t xml:space="preserve">Response: </w:t>
      </w:r>
      <w:r>
        <w:rPr>
          <w:rFonts w:eastAsia="Calibri" w:cs="Calibri" w:ascii="Liberation Serif" w:hAnsi="Liberation Serif"/>
          <w:sz w:val="22"/>
          <w:szCs w:val="22"/>
        </w:rPr>
        <w:t>Stated. The Statistical Analysis section now reads: “This report adheres to the Bayesian Analysis Reporting and STROBE Guidelines,” with both guideline documents cited. A completed STROBE checklist accompanies the submission.</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4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Calibri" w:hAnsi="Calibri" w:eastAsia="Calibri" w:cs="Calibri"/>
      <w:color w:val="auto"/>
      <w:kern w:val="0"/>
      <w:sz w:val="22"/>
      <w:szCs w:val="22"/>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unito ExtraLight" w:cs="Nunito ExtraLight"/>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Calibri" w:hAnsi="Calibri" w:eastAsia="Calibri" w:cs="Calibri"/>
      <w:b/>
      <w:bCs/>
      <w:color w:val="auto"/>
      <w:kern w:val="0"/>
      <w:sz w:val="22"/>
      <w:szCs w:val="22"/>
      <w:lang w:val="en-US" w:eastAsia="zh-CN" w:bidi="hi-IN"/>
    </w:rPr>
  </w:style>
  <w:style w:type="paragraph" w:styleId="ListParagraph">
    <w:name w:val="List Paragraph"/>
    <w:qFormat/>
    <w:pPr>
      <w:widowControl/>
      <w:bidi w:val="0"/>
      <w:spacing w:before="0" w:after="0"/>
      <w:jc w:val="start"/>
    </w:pPr>
    <w:rPr>
      <w:rFonts w:ascii="Calibri" w:hAnsi="Calibri" w:eastAsia="Calibri" w:cs="Calibri"/>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TotalTime>
  <Application>LibreOffice/26.2.5.2$Linux_X86_64 LibreOffice_project/620$Build-2</Application>
  <AppVersion>15.0000</AppVersion>
  <Pages>6</Pages>
  <Words>2836</Words>
  <Characters>16731</Characters>
  <CharactersWithSpaces>19492</CharactersWithSpaces>
  <Paragraphs>72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2026-07-30T15:37:59Z</dcterms:created>
  <dc:creator>Un-named</dc:creator>
  <dc:description/>
  <dc:language>en-US</dc:language>
  <cp:lastModifiedBy/>
  <dcterms:modified xsi:type="dcterms:W3CDTF">2026-07-30T16:43:37Z</dcterms:modified>
  <cp:revision>3</cp:revision>
  <dc:subject/>
  <dc:title/>
</cp:coreProperties>
</file>