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  <w:cantSplit w:val="true"/>
        </w:trPr>
        <w:tc>
          <w:tcPr>
            <w:tcW w:w="1872" w:type="dxa"/>
            <w:tcBorders>
              <w:top w:val="single" w:sz="16" w:space="0" w:color="D3D3D3"/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, N = 3,477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Left</w:t>
            </w:r>
            <w:r>
              <w:rPr>
                <w:rFonts w:ascii="Calibri" w:hAnsi="Calibri"/>
                <w:sz w:val="20"/>
              </w:rPr>
              <w:t>, N = 1,720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Right</w:t>
            </w:r>
            <w:r>
              <w:rPr>
                <w:rFonts w:ascii="Calibri" w:hAnsi="Calibri"/>
                <w:sz w:val="20"/>
              </w:rPr>
              <w:t>, N = 1,757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3744" w:type="dxa"/>
            <w:gridSpan w:val="2"/>
            <w:tcBorders>
              <w:top w:val="single" w:sz="1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Age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61 (52, 73)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61 (52, 72)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61 (52, 73)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0.91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Sex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2,081 (60%)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1,007 (59%)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1,074 (61%)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Female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1,396 (40%)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713 (41%)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683 (39%)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Race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0.59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White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1,875 (54%)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935 (54%)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940 (54%)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Black or African-American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1,022 (29%)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510 (30%)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512 (29%)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Asian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557 (16%)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263 (15%)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294 (17%)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Other/Not Reported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16 (0.5%)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 (0.4%)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9 (0.5%)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American Indian or Alaskan Native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 (0.2%)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 (0.3%)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 (0.1%)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Ethnicity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0.42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Not Hispanic or Latino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2,296 (66%)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1,141 (66%)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1,155 (66%)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Unknown/Not Reported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1,052 (30%)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509 (30%)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543 (31%)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Hispanic or Latino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129 (3.7%)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70 (4.1%)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59 (3.4%)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LNW to ED Presentation (mins)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78 (60, 180)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74 (60, 180)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83 (59, 180)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0.20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Baseline SBP (mm Hg)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190 (165, 215)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190 (165, 216)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190 (165, 214)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0.34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Baseline NIHSS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11 (6, 16)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11 (6, 17)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11 (7, 14)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0.014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Baseline GCS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15 (12, 15)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14 (11, 15)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15 (13, 15)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Hypertension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784 (23%)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366 (21%)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418 (24%)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0.076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Type II Diabetes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705 (20%)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348 (20%)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357 (20%)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0.95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Previous Stroke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583 (17%)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293 (17%)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290 (17%)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0.68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Tobacco Use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1,361 (39%)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663 (39%)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698 (40%)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0.48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ICH Location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0.002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Basal Ganglia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1,304 (38%)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688 (40%)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616 (35%)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Thalamus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1,157 (33%)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527 (31%)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630 (36%)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Lobar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1,016 (29%)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505 (29%)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511 (29%)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ICH Volume (mL)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11 (5, 26)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11 (5, 24)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12 (5, 27)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0.060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IVH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1,304 (38%)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624 (36%)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680 (39%)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Study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0.18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ERICH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2,487 (72%)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1,248 (73%)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1,239 (71%)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t>ATACH-2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990 (28%)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472 (27%)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518 (29%)</w:t>
            </w:r>
          </w:p>
        </w:tc>
        <w:tc>
          <w:tcPr>
            <w:tcW w:w="187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spacing w:before="0" w:after="60"/>
              <w:rPr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(IQR); n (%)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spacing w:before="0" w:after="60"/>
              <w:rPr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Wilcoxon rank sum test; Pearson's Chi-squared test; Fisher's exact test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ix Madefor Text" w:cs="Wix Madefor Text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start="480" w:end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2</Pages>
  <Words>278</Words>
  <Characters>1228</Characters>
  <CharactersWithSpaces>1435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2024-07-20T16:41:19Z</dcterms:created>
  <dc:creator/>
  <dc:description/>
  <dc:language>en-US</dc:language>
  <cp:lastModifiedBy/>
  <dcterms:modified xsi:type="dcterms:W3CDTF">2024-07-20T16:41:19Z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