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noHBand="0" w:noVBand="0" w:firstColumn="0" w:lastRow="0" w:lastColumn="0" w:firstRow="0"/>
      </w:tblPr>
      <w:tblGrid>
        <w:gridCol w:w="3120"/>
        <w:gridCol w:w="3120"/>
        <w:gridCol w:w="3120"/>
      </w:tblGrid>
      <w:tr>
        <w:trPr>
          <w:tblHeader w:val="true"/>
          <w:cantSplit w:val="true"/>
        </w:trPr>
        <w:tc>
          <w:tcPr>
            <w:tcW w:w="3120" w:type="dxa"/>
            <w:tcBorders>
              <w:top w:val="single" w:sz="16" w:space="0" w:color="D3D3D3"/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3120" w:type="dxa"/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Left</w:t>
            </w:r>
            <w:r>
              <w:rPr>
                <w:rFonts w:ascii="Calibri" w:hAnsi="Calibri"/>
                <w:sz w:val="20"/>
              </w:rPr>
              <w:t>, N = 1,720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3120" w:type="dxa"/>
            <w:tcBorders>
              <w:top w:val="single" w:sz="1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b/>
                <w:sz w:val="20"/>
              </w:rPr>
              <w:t>Right</w:t>
            </w:r>
            <w:r>
              <w:rPr>
                <w:rFonts w:ascii="Calibri" w:hAnsi="Calibri"/>
                <w:sz w:val="20"/>
              </w:rPr>
              <w:t>, N = 1,757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Neurosurgical Intervention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86 (5.0%)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144 (8.2%)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Ventriculostomy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236 (14%)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272 (15%)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Mechanical Ventilation Days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6.0 (3.0, 12.5)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6.0 (3.0, 9.0)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Tracheostomy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19 (1.1%)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19 (1.1%)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Withdrawal of Life-Sustaining Therapy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152 (8.8%)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143 (8.1%)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Early Withdrawal of Life-Sustaining Therapy (&lt; 72 hours)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45 (2.6%)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39 (2.2%)</w:t>
            </w:r>
          </w:p>
        </w:tc>
      </w:tr>
      <w:tr>
        <w:trPr>
          <w:cantSplit w:val="true"/>
        </w:trPr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start"/>
              <w:rPr/>
            </w:pPr>
            <w:r>
              <w:rPr>
                <w:rFonts w:ascii="Calibri" w:hAnsi="Calibri"/>
                <w:b/>
                <w:sz w:val="20"/>
              </w:rPr>
              <w:t>DNR Order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195 (11%)</w:t>
            </w:r>
          </w:p>
        </w:tc>
        <w:tc>
          <w:tcPr>
            <w:tcW w:w="312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202 (11%)</w:t>
            </w:r>
          </w:p>
        </w:tc>
      </w:tr>
      <w:tr>
        <w:trPr>
          <w:cantSplit w:val="true"/>
        </w:trPr>
        <w:tc>
          <w:tcPr>
            <w:tcW w:w="9360" w:type="dxa"/>
            <w:gridSpan w:val="3"/>
            <w:tcBorders/>
          </w:tcPr>
          <w:p>
            <w:pPr>
              <w:pStyle w:val="Normal"/>
              <w:keepNext w:val="true"/>
              <w:spacing w:before="0" w:after="60"/>
              <w:rPr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(IQR)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ix Madefor Text" w:cs="Wix Madefor Text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start="480" w:end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1</Pages>
  <Words>64</Words>
  <Characters>343</Characters>
  <CharactersWithSpaces>382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2024-07-20T16:38:19Z</dcterms:created>
  <dc:creator/>
  <dc:description/>
  <dc:language>en-US</dc:language>
  <cp:lastModifiedBy/>
  <dcterms:modified xsi:type="dcterms:W3CDTF">2024-07-20T16:38:19Z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