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Outcome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aOR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any difference (aOR &gt; 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 substantial difference (aOR &gt; 1.2)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ROPE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Modified Rankin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1.18 (1.02 - 1.37)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Mobility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1.44 (1.2 - 1.71)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Self-Care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1.44 (1.2 - 1.71)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Usual Activities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1.16 (0.98 - 1.39)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Pain/Discomfort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1.24 (1.04 - 1.48)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Anxiety/Depression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1.16 (0.97 - 1.38)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 VAS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0.95 (0.88 - 1.04)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aOR = adjusted odds ratio, CI = 95% credible interval; adjusted for age, admission GCS, ICH location, IVH, and study (as random intercept)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ROPE = region of practical equivalence, defined as 0.95 &gt; aOR &gt; 1.05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Probability of aOR &lt; 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rFonts w:ascii="Calibri" w:hAnsi="Calibri"/>
                <w:sz w:val="20"/>
              </w:rPr>
              <w:t xml:space="default">Probability of aOR &lt; 0.8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2025-01-04T03:56:27Z</dcterms:created>
  <dcterms:modified xsi:type="dcterms:W3CDTF">2025-01-04T03:56:27Z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