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3,477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Left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1,720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Right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1,757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(52, 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(52, 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(52, 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2,081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1,007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1,074 (61%)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1,396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713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683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1,875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935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940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 or African-American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1,022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510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512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557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263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294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Other/Not Reported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American Indian or Alaskan Native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Not Hispanic or Latino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2,296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1,141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1,155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Unknown/Not Reported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1,052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509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543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 or Latino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129 (3.7%)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(4.1%)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LNW to ED Presentation (mins)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 (60, 180)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 (60, 180)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 (59, 180)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SBP (mm Hg)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190 (165, 215)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190 (165, 216)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190 (165, 214)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NIHSS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(6,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(6, 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(7,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GCS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(12, 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(11, 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(13, 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784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366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418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II 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705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348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357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Previous Stroke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583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293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290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Tobacco 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1,361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663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698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ICH 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Basal Ganglia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1,304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688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616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Thalamus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1,157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527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630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Lobar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1,016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511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ICH Volume (mL)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(5, 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IVH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1,304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624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680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Study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ERICH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2,487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1,248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1,239 (71%)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ATACH-2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990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472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518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Median (Q1, Q3); n (%)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Wilcoxon rank sum test; Pearson's Chi-squared test; Fisher's exact test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2025-03-04T06:47:59Z</dcterms:created>
  <dcterms:modified xsi:type="dcterms:W3CDTF">2025-03-04T06:47:59Z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