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Outcome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aOR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Probability of any difference (aOR &gt; 1)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Probability of a substantial difference (aOR &gt; 1.2)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ROPE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Modified Rankin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1.18 (1.02 - 1.37)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EuroQOL - Mobility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1.44 (1.2 - 1.71)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EuroQOL - Self-Care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1.43 (1.2 - 1.71)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EuroQOL - Usual Activities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1.17 (0.98 - 1.39)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EuroQOL - Pain/Discomfort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1.24 (1.05 - 1.48)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EuroQOL - Anxiety/Depression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1.16 (0.98 - 1.38)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 VAS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0.95 (0.88 - 1.03)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aOR = adjusted odds ratio, CI = 95% credible interval; adjusted for age, admission GCS, ICH location, IVH, and study (as random intercept)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ROPE = region of practical equivalence, defined as 0.95 &gt; aOR &gt; 1.05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Probability of aOR &lt; 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  <w:r>
              <w:rPr>
                <w:rFonts w:ascii="Calibri" w:hAnsi="Calibri"/>
                <w:sz w:val="20"/>
              </w:rPr>
              <w:t xml:space="default">Probability of aOR &lt; 0.8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2025-03-04T07:24:02Z</dcterms:created>
  <dcterms:modified xsi:type="dcterms:W3CDTF">2025-03-04T07:24:02Z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