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 w:val="true"/>
          <w:cantSplit w:val="true"/>
        </w:trPr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0"/>
              </w:rPr>
              <w:t>Outcome</w:t>
            </w:r>
          </w:p>
        </w:tc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Left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Right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aOR (95% CI)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any difference (aOR &gt; 1)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 substantial difference (aOR &gt; 1.2)</w:t>
            </w:r>
          </w:p>
        </w:tc>
        <w:tc>
          <w:tcPr>
            <w:tcW w:w="1338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ROPE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Neurosurgical Intervention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86 (5.0%)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144 (8.2%)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1.56 (1.07 - 2.26)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0.92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External Ventricular Drain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236 (13.7%)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272 (15.5%)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1.34 (1.01 - 1.76)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0.78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0.04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Days of Mechanical Ventilation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6 (3 - 12)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6 (3 - 9)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0.94 (0.49 - 1.78)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0.43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0.23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Tracheostomy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 (1.1%)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 (1.1%)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1.05 (0.63 - 1.76)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0.58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0.31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0.15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Withdrawal of Life-Sustaining Therapy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152 (8.8%)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143 (8.1%)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1.01 (0.72 - 1.4)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0.52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0.15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0.23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Early Withdrawal of Life-Sustaining Therapy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45 (2.6%)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39 (2.2%)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0.91 (0.58 - 1.41)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0.11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0.16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DNR Order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195 (11.3%)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202 (11.5%)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1.06 (0.77 - 1.45)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0.63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0.21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0.23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aOR = adjusted odds ratio, CI = 95% credible interval; adjusted for age, admission GCS, ICH location, ICH volume, IVH, and study (as random intercept); Reference Category: Left Hemisphere Laterality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ROPE = region of practical equivalence, defined as 0.95 &gt; aOR &gt; 1.05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median (IQR)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ix Madefor Text" w:cs="Wix Madefor Tex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LibreOffice/25.8.1.1$Linux_X86_64 LibreOffice_project/580$Build-1</Application>
  <AppVersion>15.0000</AppVersion>
  <Pages>1</Pages>
  <Words>171</Words>
  <Characters>847</Characters>
  <CharactersWithSpaces>959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2025-09-02T22:13:48Z</dcterms:created>
  <dc:creator/>
  <dc:description/>
  <dc:language>en-US</dc:language>
  <cp:lastModifiedBy/>
  <dcterms:modified xsi:type="dcterms:W3CDTF">2025-09-02T20:54:31Z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