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  <w:tblLook w:noHBand="0" w:noVBand="0" w:firstColumn="0" w:lastRow="0" w:lastColumn="0" w:firstRow="0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 w:val="true"/>
          <w:cantSplit w:val="true"/>
        </w:trPr>
        <w:tc>
          <w:tcPr>
            <w:tcW w:w="1337" w:type="dxa"/>
            <w:tcBorders>
              <w:top w:val="single" w:sz="16" w:space="0" w:color="D3D3D3"/>
              <w:left w:val="single" w:sz="6" w:space="0" w:color="D3D3D3"/>
              <w:bottom w:val="single" w:sz="1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0"/>
              </w:rPr>
              <w:t>Subgroup</w:t>
            </w:r>
          </w:p>
        </w:tc>
        <w:tc>
          <w:tcPr>
            <w:tcW w:w="1337" w:type="dxa"/>
            <w:tcBorders>
              <w:top w:val="single" w:sz="16" w:space="0" w:color="D3D3D3"/>
              <w:left w:val="single" w:sz="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Left Hemisphere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Right Hemisphere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aOR (95% CI)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Probability of any difference (aOR &gt; 1)</w:t>
            </w:r>
          </w:p>
        </w:tc>
        <w:tc>
          <w:tcPr>
            <w:tcW w:w="1337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Probability of a substantial difference (aOR &gt; 1.2)</w:t>
            </w:r>
          </w:p>
        </w:tc>
        <w:tc>
          <w:tcPr>
            <w:tcW w:w="1338" w:type="dxa"/>
            <w:tcBorders>
              <w:top w:val="single" w:sz="16" w:space="0" w:color="D3D3D3"/>
              <w:bottom w:val="single" w:sz="1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ROPE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</w:tr>
      <w:tr>
        <w:trPr>
          <w:cantSplit w:val="true"/>
        </w:trPr>
        <w:tc>
          <w:tcPr>
            <w:tcW w:w="9360" w:type="dxa"/>
            <w:gridSpan w:val="7"/>
            <w:tcBorders>
              <w:top w:val="single" w:sz="16" w:space="0" w:color="D3D3D3"/>
              <w:left w:val="single" w:sz="6" w:space="0" w:color="D3D3D3"/>
              <w:bottom w:val="single" w:sz="16" w:space="0" w:color="D3D3D3"/>
              <w:right w:val="single" w:sz="6" w:space="0" w:color="D3D3D3"/>
            </w:tcBorders>
            <w:tcMar>
              <w:top w:w="25" w:type="dxa"/>
            </w:tcMar>
          </w:tcPr>
          <w:p>
            <w:pPr>
              <w:pStyle w:val="Normal"/>
              <w:keepNext w:val="true"/>
              <w:spacing w:before="0" w:after="60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0"/>
              </w:rPr>
              <w:t>ICH Location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>
                <w:b w:val="false"/>
                <w:bCs w:val="false"/>
              </w:rPr>
            </w:pPr>
            <w:r>
              <w:rPr>
                <w:rFonts w:ascii="Calibri" w:hAnsi="Calibri"/>
                <w:b w:val="false"/>
                <w:bCs w:val="false"/>
                <w:sz w:val="20"/>
              </w:rPr>
              <w:t>Basal Ganglia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43 (6.2%)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51 (8.3%)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1.39 (0.86 - 2.12)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0.91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0.70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0.07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>
                <w:b w:val="false"/>
                <w:bCs w:val="false"/>
              </w:rPr>
            </w:pPr>
            <w:r>
              <w:rPr>
                <w:rFonts w:ascii="Calibri" w:hAnsi="Calibri"/>
                <w:b w:val="false"/>
                <w:bCs w:val="false"/>
                <w:sz w:val="20"/>
              </w:rPr>
              <w:t>Lobar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39 (7.7%)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76 (14.9%)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2.00 (1.30 - 2.99)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1.00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0.99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0.00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>
                <w:b w:val="false"/>
                <w:bCs w:val="false"/>
              </w:rPr>
            </w:pPr>
            <w:r>
              <w:rPr>
                <w:rFonts w:ascii="Calibri" w:hAnsi="Calibri"/>
                <w:b w:val="false"/>
                <w:bCs w:val="false"/>
                <w:sz w:val="20"/>
              </w:rPr>
              <w:t>Thalamus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4 (0.8%)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17 (2.7%)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1.79 (0.83 - 3.42)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0.92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0.82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0.04</w:t>
            </w:r>
          </w:p>
        </w:tc>
      </w:tr>
      <w:tr>
        <w:trPr>
          <w:cantSplit w:val="true"/>
        </w:trPr>
        <w:tc>
          <w:tcPr>
            <w:tcW w:w="9360" w:type="dxa"/>
            <w:gridSpan w:val="7"/>
            <w:tcBorders>
              <w:top w:val="single" w:sz="16" w:space="0" w:color="D3D3D3"/>
              <w:left w:val="single" w:sz="6" w:space="0" w:color="D3D3D3"/>
              <w:bottom w:val="single" w:sz="16" w:space="0" w:color="D3D3D3"/>
              <w:right w:val="single" w:sz="6" w:space="0" w:color="D3D3D3"/>
            </w:tcBorders>
            <w:tcMar>
              <w:top w:w="25" w:type="dxa"/>
            </w:tcMar>
          </w:tcPr>
          <w:p>
            <w:pPr>
              <w:pStyle w:val="Normal"/>
              <w:keepNext w:val="true"/>
              <w:spacing w:before="0" w:after="60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0"/>
              </w:rPr>
              <w:t>Study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>
                <w:b w:val="false"/>
                <w:bCs w:val="false"/>
              </w:rPr>
            </w:pPr>
            <w:r>
              <w:rPr>
                <w:rFonts w:ascii="Calibri" w:hAnsi="Calibri"/>
                <w:b w:val="false"/>
                <w:bCs w:val="false"/>
                <w:sz w:val="20"/>
              </w:rPr>
              <w:t>ATACH-2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13 (2.8%)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30 (5.8%)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2.83 (1.31 - 5.45)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1.00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0.99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0.00</w:t>
            </w:r>
          </w:p>
        </w:tc>
      </w:tr>
      <w:tr>
        <w:trPr>
          <w:cantSplit w:val="true"/>
        </w:trPr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>
                <w:b w:val="false"/>
                <w:bCs w:val="false"/>
              </w:rPr>
            </w:pPr>
            <w:r>
              <w:rPr>
                <w:rFonts w:ascii="Calibri" w:hAnsi="Calibri"/>
                <w:b w:val="false"/>
                <w:bCs w:val="false"/>
                <w:sz w:val="20"/>
              </w:rPr>
              <w:t>ERICH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73 (5.8%)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114 (9.2%)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1.86 (1.27 - 2.64)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1.00</w:t>
            </w:r>
          </w:p>
        </w:tc>
        <w:tc>
          <w:tcPr>
            <w:tcW w:w="1337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0.99</w:t>
            </w:r>
          </w:p>
        </w:tc>
        <w:tc>
          <w:tcPr>
            <w:tcW w:w="1338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0.00</w:t>
            </w:r>
          </w:p>
        </w:tc>
      </w:tr>
      <w:tr>
        <w:trPr>
          <w:cantSplit w:val="true"/>
        </w:trPr>
        <w:tc>
          <w:tcPr>
            <w:tcW w:w="9360" w:type="dxa"/>
            <w:gridSpan w:val="7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 xml:space="preserve">aOR = adjusted odds ratio, CI = 95% credible interval; adjusted for age, admission GCS, ICH location, ICH volume, IVH, and study (as random intercept); </w:t>
            </w:r>
          </w:p>
          <w:p>
            <w:pPr>
              <w:pStyle w:val="Normal"/>
              <w:spacing w:before="0"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Reference Category: Left Hemisphere Laterality</w:t>
            </w:r>
          </w:p>
        </w:tc>
      </w:tr>
      <w:tr>
        <w:trPr>
          <w:cantSplit w:val="true"/>
        </w:trPr>
        <w:tc>
          <w:tcPr>
            <w:tcW w:w="9360" w:type="dxa"/>
            <w:gridSpan w:val="7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ROPE = region of practical equivalence, defined as 0.95 &gt; aOR &gt; 1.05</w:t>
            </w:r>
          </w:p>
        </w:tc>
      </w:tr>
    </w:tbl>
    <w:p>
      <w:pPr>
        <w:pStyle w:val="FirstParagraph"/>
        <w:spacing w:before="180" w:after="18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ix Madefor Text" w:cs="Wix Madefor Text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/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LibreOffice/25.8.1.1$Linux_X86_64 LibreOffice_project/580$Build-1</Application>
  <AppVersion>15.0000</AppVersion>
  <Pages>1</Pages>
  <Words>131</Words>
  <Characters>626</Characters>
  <CharactersWithSpaces>711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2025-08-15T00:23:42Z</dcterms:created>
  <dc:creator/>
  <dc:description/>
  <dc:language>en-US</dc:language>
  <cp:lastModifiedBy/>
  <dcterms:modified xsi:type="dcterms:W3CDTF">2025-09-02T20:55:11Z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