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Patients with Left Hemispheric Intracerebral Hemorrhage are Less Likely to Receive Neurosurgical Intervention</w:t>
      </w:r>
    </w:p>
    <w:p>
      <w:pPr>
        <w:pStyle w:val="Subtitle"/>
      </w:pPr>
      <w:r>
        <w:t xml:space="preserve">A Post Hoc Bayesian Analysis using data from ATACH-2 and ERICH</w:t>
      </w:r>
    </w:p>
    <w:p>
      <w:pPr>
        <w:pStyle w:val="Date"/>
      </w:pPr>
      <w:r>
        <w:t xml:space="preserve">2025-08-08</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Introduction</w:t>
      </w:r>
    </w:p>
    <w:p>
      <w:pPr>
        <w:pStyle w:val="FirstParagraph"/>
      </w:pPr>
      <w:r>
        <w:t xml:space="preserve">Intracerebral hemorrhage (ICH) remains a challenging disease, marked by its sudden onset, morbidity, and mortality. While management of ischemic stroke has advanced considerably over the last decade, the acute management of ICH remains limited to blood pressure control, coagulopathy reversal, and more perhaps surgical evacuation of hemorrhage</w:t>
      </w:r>
      <w:r>
        <w:rPr>
          <w:vertAlign w:val="superscript"/>
        </w:rPr>
        <w:t xml:space="preserve">1,2</w:t>
      </w:r>
      <w:r>
        <w:t xml:space="preserve">. 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3–6</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7–10</w:t>
      </w:r>
    </w:p>
    <w:p>
      <w:pPr>
        <w:pStyle w:val="BodyText"/>
      </w:pPr>
      <w:r>
        <w:t xml:space="preserve">Amidst an increasing enthusiasm for surgical management of ICH</w:t>
      </w:r>
      <w:r>
        <w:rPr>
          <w:vertAlign w:val="superscript"/>
        </w:rPr>
        <w:t xml:space="preserve">1,2,11</w:t>
      </w:r>
      <w:r>
        <w:t xml:space="preserve">, it is important to understand if hemispheric lateralization affects surgical decision making, as it seems to do for ischemic stroke. We aimed to evaluate the effect of hemispheric lateralization of ICH on likelihood of receiving aggressive surgical intervention as well as it’s association with functional outcomes.</w:t>
      </w:r>
    </w:p>
    <w:bookmarkEnd w:id="20"/>
    <w:bookmarkStart w:id="30" w:name="methods"/>
    <w:p>
      <w:pPr>
        <w:pStyle w:val="Heading2"/>
      </w:pPr>
      <w:r>
        <w:t xml:space="preserve">Methods</w:t>
      </w:r>
    </w:p>
    <w:bookmarkStart w:id="21"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12,13</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21"/>
    <w:bookmarkStart w:id="22"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22"/>
    <w:bookmarkStart w:id="27" w:name="statistical-analysis"/>
    <w:p>
      <w:pPr>
        <w:pStyle w:val="Heading3"/>
      </w:pPr>
      <w:r>
        <w:t xml:space="preserve">Statistical Analysis</w:t>
      </w:r>
    </w:p>
    <w:p>
      <w:pPr>
        <w:pStyle w:val="FirstParagraph"/>
      </w:pPr>
      <w:r>
        <w:t xml:space="preserve">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which offer a more intuitive interpretation than frequentist confidence intervals. Finally, Bayesian modeling facilitates the estimation of posterior probabilities, allowing for direct probabilistic statements about hypotheses, such as the probability that an odds ratio is greater than 1, which is often of greater clinical relevance than a p-value.</w:t>
      </w:r>
      <w:r>
        <w:rPr>
          <w:vertAlign w:val="superscript"/>
        </w:rPr>
        <w:t xml:space="preserve">14,15</w:t>
      </w:r>
    </w:p>
    <w:p>
      <w:pPr>
        <w:pStyle w:val="BodyText"/>
      </w:pPr>
      <w:r>
        <w:t xml:space="preserve">This report follows suggestions from the Bayesian Analysis Reporting Guidelines.</w:t>
      </w:r>
      <w:r>
        <w:rPr>
          <w:vertAlign w:val="superscript"/>
        </w:rPr>
        <w:t xml:space="preserve">16</w:t>
      </w:r>
      <w:r>
        <w:t xml:space="preserve"> </w:t>
      </w:r>
      <w:r>
        <w:t xml:space="preserve">For binary endpoints, hierarchal Bayesian logistic regression models were used. For ordinal endpoints, hierarchal Bayesian ordinal logisitic regression models were used. All analyses were performed in R version 4.4.2 (R Foundation for Statistical Computing, Vienna, Austria) using the</w:t>
      </w:r>
      <w:r>
        <w:t xml:space="preserve"> </w:t>
      </w:r>
      <w:r>
        <w:t xml:space="preserve">‘brms’</w:t>
      </w:r>
      <w:r>
        <w:t xml:space="preserve"> </w:t>
      </w:r>
      <w:r>
        <w:t xml:space="preserve">and</w:t>
      </w:r>
      <w:r>
        <w:t xml:space="preserve"> </w:t>
      </w:r>
      <w:r>
        <w:t xml:space="preserve">‘tidybayes’</w:t>
      </w:r>
      <w:r>
        <w:t xml:space="preserve"> </w:t>
      </w:r>
      <w:r>
        <w:t xml:space="preserve">packages.</w:t>
      </w:r>
    </w:p>
    <w:bookmarkStart w:id="23" w:name="covariate-selection"/>
    <w:p>
      <w:pPr>
        <w:pStyle w:val="Heading4"/>
      </w:pPr>
      <w:r>
        <w:t xml:space="preserve">Covariate Selection</w:t>
      </w:r>
    </w:p>
    <w:p>
      <w:pPr>
        <w:pStyle w:val="FirstParagraph"/>
      </w:pPr>
      <w:r>
        <w:t xml:space="preserve">We constructed directed acyclic graphs (DAGs) to model our causal assumptions and to appropriately select variables to minimize confounding and selection bias.</w:t>
      </w:r>
      <w:r>
        <w:rPr>
          <w:vertAlign w:val="superscript"/>
        </w:rPr>
        <w:t xml:space="preserve">17–19</w:t>
      </w:r>
      <w:r>
        <w:t xml:space="preserve"> </w:t>
      </w:r>
      <w:r>
        <w:t xml:space="preserve">Based on our specifications, we included the following covariates in our models: age, admission Glasgow coma score (GCS), ICH location (categorized as lobar, thalamic, or basal ganglia), baseline ICH volume (measured in milliliters), and presence of intraventricular hemorrhage (IVH). The DAGs used in the analyses are available in the supplementary material.</w:t>
      </w:r>
    </w:p>
    <w:bookmarkEnd w:id="23"/>
    <w:bookmarkStart w:id="24"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24"/>
    <w:bookmarkStart w:id="25" w:name="Xa47fa65c2b7f49382486b74e1c4ed3022604078"/>
    <w:p>
      <w:pPr>
        <w:pStyle w:val="Heading4"/>
      </w:pPr>
      <w:r>
        <w:t xml:space="preserve">Computation and Description of the Posterior Distribution</w:t>
      </w:r>
    </w:p>
    <w:p>
      <w:pPr>
        <w:pStyle w:val="FirstParagraph"/>
      </w:pPr>
      <w:r>
        <w:t xml:space="preserve">We report the following metrics for the effect of hemispheric laterality on the primary and secondary outcomes: 1) median odds ratio (OR) of the posterior distribution with 95% credible interval; 2) probability of any difference (P[OR] &gt; 1); 3) probability of a substantial difference (P[OR] &gt; 1.2) as defined by the study authors; 4) percent of the posterior distribution outside of the region of practical equivalence as defined by the study authors (ROPE; 0.95 &gt; P[OR] &gt; 1.05). A description of the rationale for these thresholds is available in the supplementary material.</w:t>
      </w:r>
    </w:p>
    <w:bookmarkEnd w:id="25"/>
    <w:bookmarkStart w:id="26" w:name="Xb6b655a891224ddee9981b292c43eac49eeddc4"/>
    <w:p>
      <w:pPr>
        <w:pStyle w:val="Heading4"/>
      </w:pPr>
      <w:r>
        <w:t xml:space="preserve">Missing Data Treatment and Sensitivity Analyses</w:t>
      </w:r>
    </w:p>
    <w:p>
      <w:pPr>
        <w:pStyle w:val="FirstParagraph"/>
      </w:pPr>
      <w:r>
        <w:t xml:space="preserve">For our primary analysis, we used a complete case approach. To assess the robustness of our findings, we conducted a sensitivity analysis using multiple imputation with chained equations (MICE) to address missing data for all covariates.</w:t>
      </w:r>
    </w:p>
    <w:p>
      <w:pPr>
        <w:pStyle w:val="BodyText"/>
      </w:pPr>
      <w:r>
        <w:t xml:space="preserve">In addition to the missing data analysis, we performed several other sensitivity analyses to confirm the stability of our results. First, we re-analyzed our models using the four sets of prior distributions described above, which allowed us to examine the influence of prior choices on the posterior distributions. Second, we explored alternate adjustment sets for the regression models to ensure our findings were not dependent on a single set of covariates, with these alternate sets being guided by the directed acyclic graphs (DAGs) used for the primary analysis</w:t>
      </w:r>
      <w:r>
        <w:rPr>
          <w:vertAlign w:val="superscript"/>
        </w:rPr>
        <w:t xml:space="preserve">18</w:t>
      </w:r>
      <w:r>
        <w:t xml:space="preserve">. Further details on the methods and results of these sensitivity analyses are presented in the Supplementary Appendix.</w:t>
      </w:r>
    </w:p>
    <w:bookmarkEnd w:id="26"/>
    <w:bookmarkEnd w:id="27"/>
    <w:bookmarkStart w:id="29"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28">
        <w:r>
          <w:rPr>
            <w:rStyle w:val="Hyperlink"/>
          </w:rPr>
          <w:t xml:space="preserve">https://github.com/nikhilpatelmd/ich-laterality</w:t>
        </w:r>
      </w:hyperlink>
      <w:r>
        <w:t xml:space="preserve">.</w:t>
      </w:r>
    </w:p>
    <w:bookmarkEnd w:id="29"/>
    <w:bookmarkEnd w:id="30"/>
    <w:bookmarkStart w:id="38" w:name="results"/>
    <w:p>
      <w:pPr>
        <w:pStyle w:val="Heading2"/>
      </w:pPr>
      <w:r>
        <w:t xml:space="preserve">Results</w:t>
      </w:r>
    </w:p>
    <w:bookmarkStart w:id="31"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NIHSS scores, lower GCS scores, and lower rates of hypertension as compared to those with right hemispheric ICH. There were 2487 (72%) patients in the cohort from ERICH and 990 (28%) from ATACH-2.</w:t>
      </w:r>
    </w:p>
    <w:bookmarkEnd w:id="31"/>
    <w:bookmarkStart w:id="32"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There were 86 (5.0%) with left hemispheric ICH who underwent neurosurgical intervention as compared to 144 (8.2%) with right hemispheric ICH (aOR 1.56, 95% credible interval 1.07 - 2.25). The posterior probability that the aOR was greater than 1 was 99%. The posterior probability of the aOR being greater than 1.2, indicating a substantial difference, was 92%. A very small portion of the posterior probability was inside of the ROPE (2%).</w:t>
      </w:r>
    </w:p>
    <w:p>
      <w:pPr>
        <w:pStyle w:val="BodyText"/>
      </w:pPr>
      <w:r>
        <w:t xml:space="preserve">The results using different pre-defined priors were consistent with the findings in the main model (Figure 1). Sensitivity analyses yielded similar results (Supplemental Appendix).</w:t>
      </w:r>
    </w:p>
    <w:bookmarkEnd w:id="32"/>
    <w:bookmarkStart w:id="33" w:name="X35a142ea301be59e62227349f8c14b571c0f47d"/>
    <w:p>
      <w:pPr>
        <w:pStyle w:val="Heading3"/>
      </w:pPr>
      <w:r>
        <w:t xml:space="preserve">Hemispheric laterality and secondary outcomes</w:t>
      </w:r>
    </w:p>
    <w:p>
      <w:pPr>
        <w:pStyle w:val="FirstParagraph"/>
      </w:pPr>
      <w:r>
        <w:t xml:space="preserve">A total of 236 (13.7%) with left hemispheric ICH had an external ventricular drain (EVD) placed as compared to 272 (15.5%) with right hemispheric ICH (aOR 1.34, 95% credible interval 1.01 - 1.76). The posterior probability that the aOR was greater than 1 was 98%. The posterior probability that the aOR was greater than 1.2 was 78%. About 2% of the posterior distribution was inside of the ROPE.</w:t>
      </w:r>
    </w:p>
    <w:p>
      <w:pPr>
        <w:pStyle w:val="BodyText"/>
      </w:pPr>
      <w:r>
        <w:t xml:space="preserve">Other secondary outcomes showed smaller and less certain associations with hemispheric laterality.</w:t>
      </w:r>
    </w:p>
    <w:bookmarkEnd w:id="33"/>
    <w:bookmarkStart w:id="36" w:name="subgroup-analyses"/>
    <w:p>
      <w:pPr>
        <w:pStyle w:val="Heading3"/>
      </w:pPr>
      <w:r>
        <w:t xml:space="preserve">Subgroup Analyses</w:t>
      </w:r>
    </w:p>
    <w:p>
      <w:pPr>
        <w:pStyle w:val="FirstParagraph"/>
      </w:pPr>
      <w:r>
        <w:t xml:space="preserve">The results of the pre-specified subgroup analyses are shown in Table 3.</w:t>
      </w:r>
    </w:p>
    <w:bookmarkStart w:id="34" w:name="ich-location"/>
    <w:p>
      <w:pPr>
        <w:pStyle w:val="Heading4"/>
      </w:pPr>
      <w:r>
        <w:t xml:space="preserve">ICH Location</w:t>
      </w:r>
    </w:p>
    <w:p>
      <w:pPr>
        <w:pStyle w:val="FirstParagraph"/>
      </w:pPr>
      <w:r>
        <w:t xml:space="preserve">While the probability of neurosurgical intervention in patients with right hemisphere ICH was consistent when considering different locations, the difference was greatest among patients with lobar ICH. In patients with lobar ICH, a total of 39 (7.7%) patients with left hemispheric ICH underwent neurosurgical intervention as compared to 76 (14.9%) patients with right hemispheric ICH (aOR 2.00, 95% credible interval 1.30 - 2.99). The posterior probability that the aOR was greater than 1 was 100%. The posterior probability that the aOR was greater than 1.2 was 99%. The entire posterior distribution was outside of the ROPE.</w:t>
      </w:r>
    </w:p>
    <w:bookmarkEnd w:id="34"/>
    <w:bookmarkStart w:id="35" w:name="study"/>
    <w:p>
      <w:pPr>
        <w:pStyle w:val="Heading4"/>
      </w:pPr>
      <w:r>
        <w:t xml:space="preserve">Study</w:t>
      </w:r>
    </w:p>
    <w:p>
      <w:pPr>
        <w:pStyle w:val="FirstParagraph"/>
      </w:pPr>
      <w:r>
        <w:t xml:space="preserve">The effect of hemispheric laterality was bigger in the ERICH cohort as compared to the ATACH-2 cohort. Of the patients enrolled in ERICH, 73 (5.8%) patients with left hemispheric ICH underwent neurosurgical intervention as compared to 114 (9.2%) patients with right hemispheric ICH (aOR 1.86, 95% credible interval 1.27 - 2.64). The posterior probability that the aOR was greater than 1 was 100%. The posterior probability that the aOR was greater than 1.2 was 99%. The entire posterior distribution was outside of the ROPE.</w:t>
      </w:r>
    </w:p>
    <w:bookmarkEnd w:id="35"/>
    <w:bookmarkEnd w:id="36"/>
    <w:bookmarkStart w:id="37" w:name="X497d2c87b36dfef7f34a746e297a0b417356437"/>
    <w:p>
      <w:pPr>
        <w:pStyle w:val="Heading3"/>
      </w:pPr>
      <w:r>
        <w:t xml:space="preserve">Hemispheric laterality and functional outcomes</w:t>
      </w:r>
    </w:p>
    <w:p>
      <w:pPr>
        <w:pStyle w:val="FirstParagraph"/>
      </w:pPr>
      <w:r>
        <w:t xml:space="preserve">The associations between mRS at 90 days and functional outcomes are described in Table 4. The aOR for a worse mRS score at 90 days associated with right hemispheric ICH compared to left hemispheric ICH was 1.18 (95% credible interval 1.02 - 1.36). The posterior probability that the aOR was &gt; 1 was 99%. The posterior probability that the aOR was &gt; 1.2 was 40%. About 6% of the posterior distribution was inside of the ROPE.</w:t>
      </w:r>
    </w:p>
    <w:p>
      <w:pPr>
        <w:pStyle w:val="BodyText"/>
      </w:pPr>
      <w:r>
        <w:t xml:space="preserve">When examining HRQOL, the largest differences between groups was in the Moblity and Self-Care domains. The aOR for a worse EuroQOL - Moblity score associated with right hemispheric ICH compared to left hemispheric ICH was 1.43 (95% credible interval 1.2 - 1.71) with similar results for the Self-Care domain. The posterior probability that the aOR was &gt; 1 was 100% for both domains, with the posterior probability that the aOR was &gt; 1.2 being 98%.</w:t>
      </w:r>
    </w:p>
    <w:p>
      <w:pPr>
        <w:pStyle w:val="BodyText"/>
      </w:pPr>
      <w:r>
        <w:t xml:space="preserve">Results from using different priors and sensitivity analyses are presented in the Supplementary Appendix and did not significantly alter the results.</w:t>
      </w:r>
    </w:p>
    <w:bookmarkEnd w:id="37"/>
    <w:bookmarkEnd w:id="38"/>
    <w:bookmarkStart w:id="39" w:name="discussion"/>
    <w:p>
      <w:pPr>
        <w:pStyle w:val="Heading2"/>
      </w:pPr>
      <w:r>
        <w:t xml:space="preserve">Discussion</w:t>
      </w:r>
    </w:p>
    <w:p>
      <w:pPr>
        <w:pStyle w:val="FirstParagraph"/>
      </w:pPr>
      <w:r>
        <w:t xml:space="preserve">In this pooled analysis of 3477 patients with ICH, we found evidence that those with right hemispheric ICH were more likely to receive neurosurgical intervention than those with left hemispheric ICH. Specifically, patients with right hemispheric ICH had 1.56 times the odds of receiving a neurosurgical intervention and 1.34 times the odds of receiving an EVD. This was consistent when considering various ICH locations and within each individual study. Despite receiving less aggressive surgical care, patients with left hemispheric ICH had better 90-day functional outcomes, a finding robust to various definitions including the mRS and HRQoL domains. This finding is particularly important in light of recent evidence suggesting that surgical interventions, such as hematoma evacuation and decompressive craniectomy, may improve outcomes in some ICH patients</w:t>
      </w:r>
      <w:r>
        <w:rPr>
          <w:vertAlign w:val="superscript"/>
        </w:rPr>
        <w:t xml:space="preserve">1,11</w:t>
      </w:r>
      <w:r>
        <w:t xml:space="preserve">. If there is a bias against offering these interventions to patients with left hemispheric ICH, it could lead to worse outcomes for this group. This highlights the need to address potential biases in treatment decisions and ensure equitable access to life-saving and disability-improving interventions.</w:t>
      </w:r>
    </w:p>
    <w:p>
      <w:pPr>
        <w:pStyle w:val="BodyText"/>
      </w:pPr>
      <w:r>
        <w:t xml:space="preserve">Our findings corroborate those from a pooled analysis of the INTERACT1 and INTERACT2 trials, which showed higher mortality in patients with right hemispheric ICH</w:t>
      </w:r>
      <w:r>
        <w:rPr>
          <w:vertAlign w:val="superscript"/>
        </w:rPr>
        <w:t xml:space="preserve">10</w:t>
      </w:r>
      <w:r>
        <w:t xml:space="preserve">. Moreover, there is</w:t>
      </w:r>
    </w:p>
    <w:p>
      <w:pPr>
        <w:pStyle w:val="BodyText"/>
      </w:pPr>
      <w:r>
        <w:t xml:space="preserve">Our study has some limitations. The absolute number of patients undergoing surgery was relatively low, making it unclear how these findings might translate to studies with higher intervention rates. We derived our cohort from two prospective studies where practice patterns may have been affected by the Hawthorne effect. With the recent publication of several large RCTs demonstrating the benefit of hematoma evacuation and decompressive craniectomy in ICH, it will be imperative to confirm our findings with additional cohorts.</w:t>
      </w:r>
    </w:p>
    <w:bookmarkEnd w:id="39"/>
    <w:bookmarkStart w:id="77" w:name="conclusions"/>
    <w:p>
      <w:pPr>
        <w:pStyle w:val="Heading2"/>
      </w:pPr>
      <w:r>
        <w:t xml:space="preserve">Conclusions</w:t>
      </w:r>
    </w:p>
    <w:p>
      <w:pPr>
        <w:pStyle w:val="FirstParagraph"/>
      </w:pPr>
      <w:r>
        <w:t xml:space="preserve">We found that patients with left hemispheric ICH were less likely to receive aggressive care in the form of neurosurgical intervention and external ventricular drain placement as compared to those with right hemispheric ICH. Despite this, patients with left hemispheric ICH were more likely to have better functional outcomes at 90 days. These findings highlight the potential influence of hemispheric laterality on treatment decisions and outcomes in ICH, and suggest that further research is needed to understand and address potential biases in treatment allocation.</w:t>
      </w:r>
    </w:p>
    <w:bookmarkStart w:id="76" w:name="refs"/>
    <w:bookmarkStart w:id="41" w:name="ref-pradillaTrialEarlyMinimally2024"/>
    <w:p>
      <w:pPr>
        <w:pStyle w:val="Bibliography"/>
      </w:pPr>
      <w:r>
        <w:t xml:space="preserve">1.</w:t>
      </w:r>
      <w:r>
        <w:t xml:space="preserve"> </w:t>
      </w:r>
      <w:r>
        <w:t xml:space="preserve">	</w:t>
      </w:r>
      <w:r>
        <w:t xml:space="preserve">Pradilla G, Ratcliff JJ, Hall AJ, Saville BR, Allen JW, Paulon G, McGlothlin A, Lewis RJ, Fitzgerald M, Caveney AF, Li XT, Bain M, Gomes J, Jankowitz B, Zenonos G, et al.</w:t>
      </w:r>
      <w:r>
        <w:t xml:space="preserve"> </w:t>
      </w:r>
      <w:hyperlink r:id="rId40">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2024;390(14):1277–1289.</w:t>
      </w:r>
    </w:p>
    <w:bookmarkEnd w:id="41"/>
    <w:bookmarkStart w:id="43" w:name="ref-bakoMinimallyInvasiveSurgery2023"/>
    <w:p>
      <w:pPr>
        <w:pStyle w:val="Bibliography"/>
      </w:pPr>
      <w:r>
        <w:t xml:space="preserve">2.</w:t>
      </w:r>
      <w:r>
        <w:t xml:space="preserve"> </w:t>
      </w:r>
      <w:r>
        <w:t xml:space="preserve">	</w:t>
      </w:r>
      <w:r>
        <w:t xml:space="preserve">Bako AT, Potter T, Pan AP, Tannous J, Britz G, Ziai WC, Awad I, Hanley D, Vahidy FS.</w:t>
      </w:r>
      <w:r>
        <w:t xml:space="preserve"> </w:t>
      </w:r>
      <w:hyperlink r:id="rId42">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2023;101(16):e1614–e1622.</w:t>
      </w:r>
    </w:p>
    <w:bookmarkEnd w:id="43"/>
    <w:bookmarkStart w:id="45" w:name="ref-dileggeImpactLesionSide2005"/>
    <w:p>
      <w:pPr>
        <w:pStyle w:val="Bibliography"/>
      </w:pPr>
      <w:r>
        <w:t xml:space="preserve">3.</w:t>
      </w:r>
      <w:r>
        <w:t xml:space="preserve"> </w:t>
      </w:r>
      <w:r>
        <w:t xml:space="preserve">	</w:t>
      </w:r>
      <w:r>
        <w:t xml:space="preserve">Di Legge S, Fang J, Saposnik G, Hachinski V.</w:t>
      </w:r>
      <w:r>
        <w:t xml:space="preserve"> </w:t>
      </w:r>
      <w:hyperlink r:id="rId44">
        <w:r>
          <w:rPr>
            <w:rStyle w:val="Hyperlink"/>
          </w:rPr>
          <w:t xml:space="preserve">The impact of lesion side on acute stroke treatment</w:t>
        </w:r>
      </w:hyperlink>
      <w:r>
        <w:t xml:space="preserve">.</w:t>
      </w:r>
      <w:r>
        <w:t xml:space="preserve"> </w:t>
      </w:r>
      <w:r>
        <w:rPr>
          <w:i/>
          <w:iCs/>
        </w:rPr>
        <w:t xml:space="preserve">Neurology</w:t>
      </w:r>
      <w:r>
        <w:t xml:space="preserve">. 2005;65(1):81–86.</w:t>
      </w:r>
    </w:p>
    <w:bookmarkEnd w:id="45"/>
    <w:bookmarkStart w:id="47" w:name="ref-foerchDifferenceRecognitionRight2005"/>
    <w:p>
      <w:pPr>
        <w:pStyle w:val="Bibliography"/>
      </w:pPr>
      <w:r>
        <w:t xml:space="preserve">4.</w:t>
      </w:r>
      <w:r>
        <w:t xml:space="preserve"> </w:t>
      </w:r>
      <w:r>
        <w:t xml:space="preserve">	</w:t>
      </w:r>
      <w:r>
        <w:t xml:space="preserve">Foerch C, Misselwitz B, Sitzer M, Berger K, Steinmetz H, Neumann-Haefelin T.</w:t>
      </w:r>
      <w:r>
        <w:t xml:space="preserve"> </w:t>
      </w:r>
      <w:hyperlink r:id="rId46">
        <w:r>
          <w:rPr>
            <w:rStyle w:val="Hyperlink"/>
          </w:rPr>
          <w:t xml:space="preserve">Difference in recognition of right and left hemispheric stroke</w:t>
        </w:r>
      </w:hyperlink>
      <w:r>
        <w:t xml:space="preserve">.</w:t>
      </w:r>
      <w:r>
        <w:t xml:space="preserve"> </w:t>
      </w:r>
      <w:r>
        <w:rPr>
          <w:i/>
          <w:iCs/>
        </w:rPr>
        <w:t xml:space="preserve">The Lancet</w:t>
      </w:r>
      <w:r>
        <w:t xml:space="preserve">. 2005;366(9483):392–393.</w:t>
      </w:r>
    </w:p>
    <w:bookmarkEnd w:id="47"/>
    <w:bookmarkStart w:id="49" w:name="ref-portegiesLeftsidedStrokesAre2015"/>
    <w:p>
      <w:pPr>
        <w:pStyle w:val="Bibliography"/>
      </w:pPr>
      <w:r>
        <w:t xml:space="preserve">5.</w:t>
      </w:r>
      <w:r>
        <w:t xml:space="preserve"> </w:t>
      </w:r>
      <w:r>
        <w:t xml:space="preserve">	</w:t>
      </w:r>
      <w:r>
        <w:t xml:space="preserve">Portegies MLP, Selwaness M, Hofman A, Koudstaal PJ, Vernooij MW, Ikram MA.</w:t>
      </w:r>
      <w:r>
        <w:t xml:space="preserve"> </w:t>
      </w:r>
      <w:hyperlink r:id="rId48">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2015;46(1):252–254.</w:t>
      </w:r>
    </w:p>
    <w:bookmarkEnd w:id="49"/>
    <w:bookmarkStart w:id="51" w:name="ref-liStrokeLateralizationLarge2021"/>
    <w:p>
      <w:pPr>
        <w:pStyle w:val="Bibliography"/>
      </w:pPr>
      <w:r>
        <w:t xml:space="preserve">6.</w:t>
      </w:r>
      <w:r>
        <w:t xml:space="preserve"> </w:t>
      </w:r>
      <w:r>
        <w:t xml:space="preserve">	</w:t>
      </w:r>
      <w:r>
        <w:t xml:space="preserve">Li J, Zhang P, Liu Y, Chen W, Yi X, Wang C.</w:t>
      </w:r>
      <w:r>
        <w:t xml:space="preserve"> </w:t>
      </w:r>
      <w:hyperlink r:id="rId50">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p>
    <w:bookmarkEnd w:id="51"/>
    <w:bookmarkStart w:id="53" w:name="X838bc231b1872fcffc9183d1e0517a825b33557"/>
    <w:p>
      <w:pPr>
        <w:pStyle w:val="Bibliography"/>
      </w:pPr>
      <w:r>
        <w:t xml:space="preserve">7.</w:t>
      </w:r>
      <w:r>
        <w:t xml:space="preserve"> </w:t>
      </w:r>
      <w:r>
        <w:t xml:space="preserve">	</w:t>
      </w:r>
      <w:r>
        <w:t xml:space="preserve">Deb-Chatterji M, Flottmann F, Meyer L, Brekenfeld C, Fiehler J, Gerloff C, Thomalla G, the GSR-ET-Investigators, Gerloff C, Fiehler J, Thomalla G, Alegiani A, Boeckh-Behrens, Wunderlich S, Ernemann U, et al.</w:t>
      </w:r>
      <w:r>
        <w:t xml:space="preserve"> </w:t>
      </w:r>
      <w:hyperlink r:id="rId52">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2022;4(1):58.</w:t>
      </w:r>
    </w:p>
    <w:bookmarkEnd w:id="53"/>
    <w:bookmarkStart w:id="55" w:name="ref-leggeNeglectingDifference2006"/>
    <w:p>
      <w:pPr>
        <w:pStyle w:val="Bibliography"/>
      </w:pPr>
      <w:r>
        <w:t xml:space="preserve">8.</w:t>
      </w:r>
      <w:r>
        <w:t xml:space="preserve"> </w:t>
      </w:r>
      <w:r>
        <w:t xml:space="preserve">	</w:t>
      </w:r>
      <w:r>
        <w:t xml:space="preserve">Legge SD, Saposnik G, Nilanont Y, Hachinski V.</w:t>
      </w:r>
      <w:r>
        <w:t xml:space="preserve"> </w:t>
      </w:r>
      <w:hyperlink r:id="rId54">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2006;37(8):2066–2069.</w:t>
      </w:r>
    </w:p>
    <w:bookmarkEnd w:id="55"/>
    <w:bookmarkStart w:id="57" w:name="X3c0b23a0f7bdee15362bbd61a2add3aa865ea88"/>
    <w:p>
      <w:pPr>
        <w:pStyle w:val="Bibliography"/>
      </w:pPr>
      <w:r>
        <w:t xml:space="preserve">9.</w:t>
      </w:r>
      <w:r>
        <w:t xml:space="preserve"> </w:t>
      </w:r>
      <w:r>
        <w:t xml:space="preserve">	</w:t>
      </w:r>
      <w:r>
        <w:t xml:space="preserve">Beuscher VD, Kuramatsu JB, Gerner ST, Köhn J, Lücking H, Kloska SP, Huttner HB.</w:t>
      </w:r>
      <w:r>
        <w:t xml:space="preserve"> </w:t>
      </w:r>
      <w:hyperlink r:id="rId56">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2017;43(3-4):117–123.</w:t>
      </w:r>
    </w:p>
    <w:bookmarkEnd w:id="57"/>
    <w:bookmarkStart w:id="59" w:name="ref-satoHigherMortalityPatients2015"/>
    <w:p>
      <w:pPr>
        <w:pStyle w:val="Bibliography"/>
      </w:pPr>
      <w:r>
        <w:t xml:space="preserve">10.</w:t>
      </w:r>
      <w:r>
        <w:t xml:space="preserve"> </w:t>
      </w:r>
      <w:r>
        <w:t xml:space="preserve">	</w:t>
      </w:r>
      <w:r>
        <w:t xml:space="preserve">Sato S, Heeley E, Arima H, Delcourt C, Hirakawa Y, Pamidimukkala V, Li Z, Tao Q, Xu Y, Hennerici MG, Robinson T, Tzourio C, Lindley RI, Chalmers J, Anderson CS.</w:t>
      </w:r>
      <w:r>
        <w:t xml:space="preserve"> </w:t>
      </w:r>
      <w:hyperlink r:id="rId58">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2015;86(12):1319–1323.</w:t>
      </w:r>
    </w:p>
    <w:bookmarkEnd w:id="59"/>
    <w:bookmarkStart w:id="61" w:name="ref-beckDecompressiveCraniectomyBest2024"/>
    <w:p>
      <w:pPr>
        <w:pStyle w:val="Bibliography"/>
      </w:pPr>
      <w:r>
        <w:t xml:space="preserve">11.</w:t>
      </w:r>
      <w:r>
        <w:t xml:space="preserve"> </w:t>
      </w:r>
      <w:r>
        <w:t xml:space="preserve">	</w:t>
      </w:r>
      <w:r>
        <w:t xml:space="preserve">Beck J, Fung C, Strbian D, Bütikofer L, Z’Graggen WJ, Lang MF, Beyeler S, Gralla J, Ringel F, Schaller K, Plesnila N, Arnold M, Hacke W, Jüni P, Mendelow AD, et al.</w:t>
      </w:r>
      <w:r>
        <w:t xml:space="preserve"> </w:t>
      </w:r>
      <w:hyperlink r:id="rId60">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2024;403(10442):2395–2404.</w:t>
      </w:r>
    </w:p>
    <w:bookmarkEnd w:id="61"/>
    <w:bookmarkStart w:id="63" w:name="Xe5698a0135fcc3ba325d1733a6b0d2457d0d2c6"/>
    <w:p>
      <w:pPr>
        <w:pStyle w:val="Bibliography"/>
      </w:pPr>
      <w:r>
        <w:t xml:space="preserve">12.</w:t>
      </w:r>
      <w:r>
        <w:t xml:space="preserve"> </w:t>
      </w:r>
      <w:r>
        <w:t xml:space="preserve">	</w:t>
      </w:r>
      <w:r>
        <w:t xml:space="preserve">Qureshi AI, Palesch YY, Barsan WG, Hanley DF, Hsu CY, Martin RL, Moy CS, Silbergleit R, Steiner T, Suarez JI, Toyoda K, Wang Y, Yamamoto H, Yoon B-W.</w:t>
      </w:r>
      <w:r>
        <w:t xml:space="preserve"> </w:t>
      </w:r>
      <w:hyperlink r:id="rId62">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2016;375(11):1033–1043.</w:t>
      </w:r>
    </w:p>
    <w:bookmarkEnd w:id="63"/>
    <w:bookmarkStart w:id="65" w:name="ref-wooEthnicRacialVariations2013"/>
    <w:p>
      <w:pPr>
        <w:pStyle w:val="Bibliography"/>
      </w:pPr>
      <w:r>
        <w:t xml:space="preserve">13.</w:t>
      </w:r>
      <w:r>
        <w:t xml:space="preserve"> </w:t>
      </w:r>
      <w:r>
        <w:t xml:space="preserve">	</w:t>
      </w:r>
      <w:r>
        <w:t xml:space="preserve">Woo D, Rosand J, Kidwell C, McCauley JL, Osborne J, Brown MW, West SE, Rademacher EW, Waddy S, Roberts JN, Koch S, Gonzales NR, Sung G, Kittner SJ, Birnbaum L, et al.</w:t>
      </w:r>
      <w:r>
        <w:t xml:space="preserve"> </w:t>
      </w:r>
      <w:hyperlink r:id="rId64">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2013;44(10).</w:t>
      </w:r>
    </w:p>
    <w:bookmarkEnd w:id="65"/>
    <w:bookmarkStart w:id="66" w:name="ref-dogucuBayesRulesIntroduction"/>
    <w:p>
      <w:pPr>
        <w:pStyle w:val="Bibliography"/>
      </w:pPr>
      <w:r>
        <w:t xml:space="preserve">14.</w:t>
      </w:r>
      <w:r>
        <w:t xml:space="preserve"> </w:t>
      </w:r>
      <w:r>
        <w:t xml:space="preserve">	</w:t>
      </w:r>
      <w:r>
        <w:t xml:space="preserve">Dogucu M Miles Q. Ott.</w:t>
      </w:r>
      <w:r>
        <w:t xml:space="preserve"> </w:t>
      </w:r>
      <w:r>
        <w:rPr>
          <w:i/>
          <w:iCs/>
        </w:rPr>
        <w:t xml:space="preserve">Bayes</w:t>
      </w:r>
      <w:r>
        <w:rPr>
          <w:i/>
          <w:iCs/>
        </w:rPr>
        <w:t xml:space="preserve"> </w:t>
      </w:r>
      <w:r>
        <w:rPr>
          <w:i/>
          <w:iCs/>
        </w:rPr>
        <w:t xml:space="preserve">Rules</w:t>
      </w:r>
      <w:r>
        <w:rPr>
          <w:i/>
          <w:iCs/>
        </w:rPr>
        <w:t xml:space="preserve">!</w:t>
      </w:r>
      <w:r>
        <w:rPr>
          <w:i/>
          <w:iCs/>
        </w:rPr>
        <w:t xml:space="preserve"> </w:t>
      </w:r>
      <w:r>
        <w:rPr>
          <w:i/>
          <w:iCs/>
        </w:rPr>
        <w:t xml:space="preserve">An Introduction</w:t>
      </w:r>
      <w:r>
        <w:rPr>
          <w:i/>
          <w:iCs/>
        </w:rPr>
        <w:t xml:space="preserve"> </w:t>
      </w:r>
      <w:r>
        <w:rPr>
          <w:i/>
          <w:iCs/>
        </w:rPr>
        <w:t xml:space="preserve">to</w:t>
      </w:r>
      <w:r>
        <w:rPr>
          <w:i/>
          <w:iCs/>
        </w:rPr>
        <w:t xml:space="preserve"> </w:t>
      </w:r>
      <w:r>
        <w:rPr>
          <w:i/>
          <w:iCs/>
        </w:rPr>
        <w:t xml:space="preserve">Applied Bayesian Modeling</w:t>
      </w:r>
      <w:r>
        <w:t xml:space="preserve">.</w:t>
      </w:r>
    </w:p>
    <w:bookmarkEnd w:id="66"/>
    <w:bookmarkStart w:id="67" w:name="X7e5fcb01483c46ceec3804400aa01747d15580c"/>
    <w:p>
      <w:pPr>
        <w:pStyle w:val="Bibliography"/>
      </w:pPr>
      <w:r>
        <w:t xml:space="preserve">15.</w:t>
      </w:r>
      <w:r>
        <w:t xml:space="preserve"> </w:t>
      </w:r>
      <w:r>
        <w:t xml:space="preserve">	</w:t>
      </w:r>
      <w:r>
        <w:t xml:space="preserve">McElreath R.</w:t>
      </w:r>
      <w:r>
        <w:t xml:space="preserve"> </w:t>
      </w:r>
      <w:r>
        <w:rPr>
          <w:i/>
          <w:iCs/>
        </w:rPr>
        <w:t xml:space="preserve">Statistical</w:t>
      </w:r>
      <w:r>
        <w:rPr>
          <w:i/>
          <w:iCs/>
        </w:rPr>
        <w:t xml:space="preserve"> </w:t>
      </w:r>
      <w:r>
        <w:rPr>
          <w:i/>
          <w:iCs/>
        </w:rPr>
        <w:t xml:space="preserve">Rethinking</w:t>
      </w:r>
      <w:r>
        <w:rPr>
          <w:i/>
          <w:iCs/>
        </w:rPr>
        <w:t xml:space="preserve">:</w:t>
      </w:r>
      <w:r>
        <w:rPr>
          <w:i/>
          <w:iCs/>
        </w:rPr>
        <w:t xml:space="preserve"> </w:t>
      </w:r>
      <w:r>
        <w:rPr>
          <w:i/>
          <w:iCs/>
        </w:rPr>
        <w:t xml:space="preserve">A Bayesian Course</w:t>
      </w:r>
      <w:r>
        <w:rPr>
          <w:i/>
          <w:iCs/>
        </w:rPr>
        <w:t xml:space="preserve"> </w:t>
      </w:r>
      <w:r>
        <w:rPr>
          <w:i/>
          <w:iCs/>
        </w:rPr>
        <w:t xml:space="preserve">with</w:t>
      </w:r>
      <w:r>
        <w:rPr>
          <w:i/>
          <w:iCs/>
        </w:rPr>
        <w:t xml:space="preserve"> </w:t>
      </w:r>
      <w:r>
        <w:rPr>
          <w:i/>
          <w:iCs/>
        </w:rPr>
        <w:t xml:space="preserve">Examples</w:t>
      </w:r>
      <w:r>
        <w:rPr>
          <w:i/>
          <w:iCs/>
        </w:rPr>
        <w:t xml:space="preserve"> </w:t>
      </w:r>
      <w:r>
        <w:rPr>
          <w:i/>
          <w:iCs/>
        </w:rPr>
        <w:t xml:space="preserve">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CRC Press; 2020.</w:t>
      </w:r>
    </w:p>
    <w:bookmarkEnd w:id="67"/>
    <w:bookmarkStart w:id="69" w:name="Xfbc06ab4e8a143dd15dec8dfd06cc82cc01ab3c"/>
    <w:p>
      <w:pPr>
        <w:pStyle w:val="Bibliography"/>
      </w:pPr>
      <w:r>
        <w:t xml:space="preserve">16.</w:t>
      </w:r>
      <w:r>
        <w:t xml:space="preserve"> </w:t>
      </w:r>
      <w:r>
        <w:t xml:space="preserve">	</w:t>
      </w:r>
      <w:r>
        <w:t xml:space="preserve">Kruschke JK.</w:t>
      </w:r>
      <w:r>
        <w:t xml:space="preserve"> </w:t>
      </w:r>
      <w:hyperlink r:id="rId68">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2021;5(10):1282–1291.</w:t>
      </w:r>
    </w:p>
    <w:bookmarkEnd w:id="69"/>
    <w:bookmarkStart w:id="71" w:name="Xadd1365c52322e3ad3aed151084109b8ced3dcd"/>
    <w:p>
      <w:pPr>
        <w:pStyle w:val="Bibliography"/>
      </w:pPr>
      <w:r>
        <w:t xml:space="preserve">17.</w:t>
      </w:r>
      <w:r>
        <w:t xml:space="preserve"> </w:t>
      </w:r>
      <w:r>
        <w:t xml:space="preserve">	</w:t>
      </w:r>
      <w:r>
        <w:t xml:space="preserve">Debertin J, Jurado Vélez JA, Corlin L, Hidalgo B, Murray EJ.</w:t>
      </w:r>
      <w:r>
        <w:t xml:space="preserve"> </w:t>
      </w:r>
      <w:hyperlink r:id="rId70">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2024;35(5):642.</w:t>
      </w:r>
    </w:p>
    <w:bookmarkEnd w:id="71"/>
    <w:bookmarkStart w:id="73" w:name="ref-tennantUseDirectedAcyclic2021"/>
    <w:p>
      <w:pPr>
        <w:pStyle w:val="Bibliography"/>
      </w:pPr>
      <w:r>
        <w:t xml:space="preserve">18.</w:t>
      </w:r>
      <w:r>
        <w:t xml:space="preserve"> </w:t>
      </w:r>
      <w:r>
        <w:t xml:space="preserve">	</w:t>
      </w:r>
      <w:r>
        <w:t xml:space="preserve">Tennant PWG, Murray EJ, Arnold KF, Berrie L, Fox MP, Gadd SC, Harrison WJ, Keeble C, Ranker LR, Textor J, Tomova GD, Gilthorpe MS, Ellison GTH.</w:t>
      </w:r>
      <w:r>
        <w:t xml:space="preserve"> </w:t>
      </w:r>
      <w:hyperlink r:id="rId72">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2021;50(2):620–632.</w:t>
      </w:r>
    </w:p>
    <w:bookmarkEnd w:id="73"/>
    <w:bookmarkStart w:id="75" w:name="ref-hernanSpecifyingTargetTrial2016"/>
    <w:p>
      <w:pPr>
        <w:pStyle w:val="Bibliography"/>
      </w:pPr>
      <w:r>
        <w:t xml:space="preserve">19.</w:t>
      </w:r>
      <w:r>
        <w:t xml:space="preserve"> </w:t>
      </w:r>
      <w:r>
        <w:t xml:space="preserve">	</w:t>
      </w:r>
      <w:r>
        <w:t xml:space="preserve">Hernán MA, Sauer BC, Hernández-Díaz S, Platt R, Shrier I.</w:t>
      </w:r>
      <w:r>
        <w:t xml:space="preserve"> </w:t>
      </w:r>
      <w:hyperlink r:id="rId74">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oi.org/10.1016/S0140-6736(05)67024-9" TargetMode="External" /><Relationship Type="http://schemas.openxmlformats.org/officeDocument/2006/relationships/hyperlink" Id="rId60" Target="https://doi.org/10.1016/S0140-6736(24)00702-5" TargetMode="External" /><Relationship Type="http://schemas.openxmlformats.org/officeDocument/2006/relationships/hyperlink" Id="rId74" Target="https://doi.org/10.1016/j.jclinepi.2016.04.014" TargetMode="External" /><Relationship Type="http://schemas.openxmlformats.org/officeDocument/2006/relationships/hyperlink" Id="rId68" Target="https://doi.org/10.1038/s41562-021-01177-7" TargetMode="External" /><Relationship Type="http://schemas.openxmlformats.org/officeDocument/2006/relationships/hyperlink" Id="rId62" Target="https://doi.org/10.1056/NEJMoa1603460" TargetMode="External" /><Relationship Type="http://schemas.openxmlformats.org/officeDocument/2006/relationships/hyperlink" Id="rId40" Target="https://doi.org/10.1056/NEJMoa2308440" TargetMode="External" /><Relationship Type="http://schemas.openxmlformats.org/officeDocument/2006/relationships/hyperlink" Id="rId72" Target="https://doi.org/10.1093/ije/dyaa213" TargetMode="External" /><Relationship Type="http://schemas.openxmlformats.org/officeDocument/2006/relationships/hyperlink" Id="rId70" Target="https://doi.org/10.1097/EDE.0000000000001758" TargetMode="External" /><Relationship Type="http://schemas.openxmlformats.org/officeDocument/2006/relationships/hyperlink" Id="rId58" Target="https://doi.org/10.1136/jnnp-2014-309870" TargetMode="External" /><Relationship Type="http://schemas.openxmlformats.org/officeDocument/2006/relationships/hyperlink" Id="rId56" Target="https://doi.org/10.1159/000454775" TargetMode="External" /><Relationship Type="http://schemas.openxmlformats.org/officeDocument/2006/relationships/hyperlink" Id="rId54" Target="https://doi.org/10.1161/01.STR.0000229899.66019.62" TargetMode="External" /><Relationship Type="http://schemas.openxmlformats.org/officeDocument/2006/relationships/hyperlink" Id="rId64" Target="https://doi.org/10.1161/STROKEAHA.113.002332" TargetMode="External" /><Relationship Type="http://schemas.openxmlformats.org/officeDocument/2006/relationships/hyperlink" Id="rId48" Target="https://doi.org/10.1161/STROKEAHA.114.007385" TargetMode="External" /><Relationship Type="http://schemas.openxmlformats.org/officeDocument/2006/relationships/hyperlink" Id="rId52" Target="https://doi.org/10.1186/s42466-022-00223-7" TargetMode="External" /><Relationship Type="http://schemas.openxmlformats.org/officeDocument/2006/relationships/hyperlink" Id="rId44" Target="https://doi.org/10.1212/01.wnl.0000167608.94237.aa" TargetMode="External" /><Relationship Type="http://schemas.openxmlformats.org/officeDocument/2006/relationships/hyperlink" Id="rId42" Target="https://doi.org/10.1212/WNL.0000000000207735" TargetMode="External" /><Relationship Type="http://schemas.openxmlformats.org/officeDocument/2006/relationships/hyperlink" Id="rId50" Target="https://doi.org/10.3389/fneur.2021.774247" TargetMode="External" /><Relationship Type="http://schemas.openxmlformats.org/officeDocument/2006/relationships/hyperlink" Id="rId28"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S0140-6736(05)67024-9" TargetMode="External" /><Relationship Type="http://schemas.openxmlformats.org/officeDocument/2006/relationships/hyperlink" Id="rId60" Target="https://doi.org/10.1016/S0140-6736(24)00702-5" TargetMode="External" /><Relationship Type="http://schemas.openxmlformats.org/officeDocument/2006/relationships/hyperlink" Id="rId74" Target="https://doi.org/10.1016/j.jclinepi.2016.04.014" TargetMode="External" /><Relationship Type="http://schemas.openxmlformats.org/officeDocument/2006/relationships/hyperlink" Id="rId68" Target="https://doi.org/10.1038/s41562-021-01177-7" TargetMode="External" /><Relationship Type="http://schemas.openxmlformats.org/officeDocument/2006/relationships/hyperlink" Id="rId62" Target="https://doi.org/10.1056/NEJMoa1603460" TargetMode="External" /><Relationship Type="http://schemas.openxmlformats.org/officeDocument/2006/relationships/hyperlink" Id="rId40" Target="https://doi.org/10.1056/NEJMoa2308440" TargetMode="External" /><Relationship Type="http://schemas.openxmlformats.org/officeDocument/2006/relationships/hyperlink" Id="rId72" Target="https://doi.org/10.1093/ije/dyaa213" TargetMode="External" /><Relationship Type="http://schemas.openxmlformats.org/officeDocument/2006/relationships/hyperlink" Id="rId70" Target="https://doi.org/10.1097/EDE.0000000000001758" TargetMode="External" /><Relationship Type="http://schemas.openxmlformats.org/officeDocument/2006/relationships/hyperlink" Id="rId58" Target="https://doi.org/10.1136/jnnp-2014-309870" TargetMode="External" /><Relationship Type="http://schemas.openxmlformats.org/officeDocument/2006/relationships/hyperlink" Id="rId56" Target="https://doi.org/10.1159/000454775" TargetMode="External" /><Relationship Type="http://schemas.openxmlformats.org/officeDocument/2006/relationships/hyperlink" Id="rId54" Target="https://doi.org/10.1161/01.STR.0000229899.66019.62" TargetMode="External" /><Relationship Type="http://schemas.openxmlformats.org/officeDocument/2006/relationships/hyperlink" Id="rId64" Target="https://doi.org/10.1161/STROKEAHA.113.002332" TargetMode="External" /><Relationship Type="http://schemas.openxmlformats.org/officeDocument/2006/relationships/hyperlink" Id="rId48" Target="https://doi.org/10.1161/STROKEAHA.114.007385" TargetMode="External" /><Relationship Type="http://schemas.openxmlformats.org/officeDocument/2006/relationships/hyperlink" Id="rId52" Target="https://doi.org/10.1186/s42466-022-00223-7" TargetMode="External" /><Relationship Type="http://schemas.openxmlformats.org/officeDocument/2006/relationships/hyperlink" Id="rId44" Target="https://doi.org/10.1212/01.wnl.0000167608.94237.aa" TargetMode="External" /><Relationship Type="http://schemas.openxmlformats.org/officeDocument/2006/relationships/hyperlink" Id="rId42" Target="https://doi.org/10.1212/WNL.0000000000207735" TargetMode="External" /><Relationship Type="http://schemas.openxmlformats.org/officeDocument/2006/relationships/hyperlink" Id="rId50" Target="https://doi.org/10.3389/fneur.2021.774247" TargetMode="External" /><Relationship Type="http://schemas.openxmlformats.org/officeDocument/2006/relationships/hyperlink" Id="rId28" Target="https://github.com/nikhilpatelmd/ich-latera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Patients with Left Hemispheric Intracerebral Hemorrhage are Less Likely to Receive Neurosurgical Intervention</dc:title>
  <dc:creator/>
  <cp:keywords/>
  <dcterms:created xsi:type="dcterms:W3CDTF">2025-09-02T08:53:01Z</dcterms:created>
  <dcterms:modified xsi:type="dcterms:W3CDTF">2025-09-02T08:53:01Z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american-heart-association.csl</vt:lpwstr>
  </property>
  <property fmtid="{D5CDD505-2E9C-101B-9397-08002B2CF9AE}" pid="10" name="date">
    <vt:lpwstr>2025-08-08</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message">
    <vt:lpwstr>False</vt:lpwstr>
  </property>
  <property fmtid="{D5CDD505-2E9C-101B-9397-08002B2CF9AE}" pid="16" name="subtitle">
    <vt:lpwstr>A Post Hoc Bayesian Analysis using data from ATACH-2 and ERICH</vt:lpwstr>
  </property>
  <property fmtid="{D5CDD505-2E9C-101B-9397-08002B2CF9AE}" pid="17" name="toc-title">
    <vt:lpwstr>Contents</vt:lpwstr>
  </property>
</Properties>
</file>