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Override PartName="/word/media/rId162.png" ContentType="image/png"/>
  <Override PartName="/word/media/rId91.png" ContentType="image/png"/>
  <Override PartName="/word/media/rId172.png" ContentType="image/png"/>
  <Override PartName="/word/media/rId101.png" ContentType="image/png"/>
  <Override PartName="/word/media/rId167.png" ContentType="image/png"/>
  <Override PartName="/word/media/rId96.png" ContentType="image/png"/>
  <Override PartName="/word/media/rId202.png" ContentType="image/png"/>
  <Override PartName="/word/media/rId131.png" ContentType="image/png"/>
  <Override PartName="/word/media/rId182.png" ContentType="image/png"/>
  <Override PartName="/word/media/rId111.png" ContentType="image/png"/>
  <Override PartName="/word/media/rId197.png" ContentType="image/png"/>
  <Override PartName="/word/media/rId126.png" ContentType="image/png"/>
  <Override PartName="/word/media/rId187.png" ContentType="image/png"/>
  <Override PartName="/word/media/rId116.png" ContentType="image/png"/>
  <Override PartName="/word/media/rId192.png" ContentType="image/png"/>
  <Override PartName="/word/media/rId121.png" ContentType="image/png"/>
  <Override PartName="/word/media/rId207.png" ContentType="image/png"/>
  <Override PartName="/word/media/rId136.png" ContentType="image/png"/>
  <Override PartName="/word/media/rId147.png" ContentType="image/png"/>
  <Override PartName="/word/media/rId76.png" ContentType="image/png"/>
  <Override PartName="/word/media/rId177.png" ContentType="image/png"/>
  <Override PartName="/word/media/rId106.png" ContentType="image/png"/>
  <Override PartName="/word/media/rId142.png" ContentType="image/png"/>
  <Override PartName="/word/media/rId71.png" ContentType="image/png"/>
  <Override PartName="/word/media/rId152.png" ContentType="image/png"/>
  <Override PartName="/word/media/rId81.png" ContentType="image/png"/>
  <Override PartName="/word/media/rId157.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44"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r>
        <w:t xml:space="preserve"> </w:t>
      </w: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w:t>
      </w:r>
      <w:r>
        <w:rPr>
          <w:vertAlign w:val="superscript"/>
        </w:rPr>
        <w:t xml:space="preserve">1</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generally followed suggestions from previous literature.</w:t>
      </w:r>
      <w:r>
        <w:rPr>
          <w:vertAlign w:val="superscript"/>
        </w:rPr>
        <w:t xml:space="preserve">2–4</w:t>
      </w:r>
      <w:r>
        <w:t xml:space="preserve"> </w:t>
      </w:r>
      <w:r>
        <w:t xml:space="preserve">Specifically, we defined four sets of prior distributions for the</w:t>
      </w:r>
      <w:r>
        <w:t xml:space="preserve"> </w:t>
      </w:r>
      <w:r>
        <w:t xml:space="preserve">hemispheric laterality coefficient (i.e., the log-odds or log-incidence rate ratio assigned to right vs. left hemisphere ICH in each model) across all outcomes. Because our models include multiple covariates and a random study intercept, the priors below describe the</w:t>
      </w:r>
      <w:r>
        <w:t xml:space="preserve"> </w:t>
      </w:r>
      <w:r>
        <w:rPr>
          <w:i/>
          <w:iCs/>
        </w:rPr>
        <w:t xml:space="preserve">conditional</w:t>
      </w:r>
      <w:r>
        <w:t xml:space="preserve"> </w:t>
      </w:r>
      <w:r>
        <w:t xml:space="preserve">laterality effect — the association between hemispheric laterality and each outcome holding all adjustment covariates constant. The implications of these priors at the data level (i.e., the</w:t>
      </w:r>
      <w:r>
        <w:t xml:space="preserve"> </w:t>
      </w:r>
      <w:r>
        <w:t xml:space="preserve">population-averaged marginal effect they imply before observing outcomes) are characterized empirically through prior predictive checks reported in</w:t>
      </w:r>
      <w:r>
        <w:t xml:space="preserve"> </w:t>
      </w:r>
      <w:r>
        <w:rPr>
          <w:b/>
          <w:bCs/>
        </w:rPr>
        <w:t xml:space="preserve">Table 2</w:t>
      </w:r>
      <w:r>
        <w:t xml:space="preserve">.</w:t>
      </w:r>
    </w:p>
    <w:p>
      <w:pPr>
        <w:pStyle w:val="BodyText"/>
      </w:pPr>
      <w:r>
        <w:rPr>
          <w:b/>
          <w:bCs/>
        </w:rPr>
        <w:t xml:space="preserve">Neutral prior</w:t>
      </w:r>
      <w:r>
        <w:t xml:space="preserve">: This prior encodes the assumption that hemispheric lateralization does not meaningfully affect the outcome — it represents the</w:t>
      </w:r>
      <w:r>
        <w:t xml:space="preserve"> </w:t>
      </w:r>
      <w:r>
        <w:rPr>
          <w:b/>
          <w:bCs/>
        </w:rPr>
        <w:t xml:space="preserve">null hypothesis</w:t>
      </w:r>
      <w:r>
        <w:t xml:space="preserve"> </w:t>
      </w:r>
      <w:r>
        <w:t xml:space="preserve">on the coefficient scale. The laterality coefficient is assigned a prior of</w:t>
      </w:r>
      <w:r>
        <w:t xml:space="preserve"> </w:t>
      </w:r>
      <w:r>
        <w:rPr>
          <w:b/>
          <w:bCs/>
        </w:rPr>
        <w:t xml:space="preserve">0</w:t>
      </w:r>
      <w:r>
        <w:t xml:space="preserve"> </w:t>
      </w:r>
      <m:oMath>
        <m:r>
          <m:rPr>
            <m:sty m:val="p"/>
          </m:rPr>
          <m:t>±</m:t>
        </m:r>
      </m:oMath>
      <w:r>
        <w:t xml:space="preserve"> </w:t>
      </w:r>
      <w:r>
        <w:rPr>
          <w:b/>
          <w:bCs/>
        </w:rPr>
        <w:t xml:space="preserve">0.5</w:t>
      </w:r>
      <w:r>
        <w:t xml:space="preserve"> </w:t>
      </w:r>
      <w:r>
        <w:t xml:space="preserve">(mean</w:t>
      </w:r>
      <w:r>
        <w:t xml:space="preserve"> </w:t>
      </w:r>
      <m:oMath>
        <m:r>
          <m:rPr>
            <m:sty m:val="p"/>
          </m:rPr>
          <m:t>±</m:t>
        </m:r>
      </m:oMath>
      <w:r>
        <w:t xml:space="preserve"> </w:t>
      </w:r>
      <w:r>
        <w:t xml:space="preserve">SD on the log scale), placing the conditional OR at</w:t>
      </w:r>
      <w:r>
        <w:t xml:space="preserve"> </w:t>
      </w:r>
      <w:r>
        <w:rPr>
          <w:b/>
          <w:bCs/>
        </w:rPr>
        <w:t xml:space="preserve">1</w:t>
      </w:r>
      <w:r>
        <w:t xml:space="preserve"> </w:t>
      </w:r>
      <w:r>
        <w:t xml:space="preserve">with 95% of the prior probability mass between</w:t>
      </w:r>
      <w:r>
        <w:t xml:space="preserve"> </w:t>
      </w:r>
      <w:r>
        <w:rPr>
          <w:b/>
          <w:bCs/>
        </w:rPr>
        <w:t xml:space="preserve">0.38</w:t>
      </w:r>
      <w:r>
        <w:t xml:space="preserve"> </w:t>
      </w:r>
      <w:r>
        <w:t xml:space="preserve">and</w:t>
      </w:r>
      <w:r>
        <w:t xml:space="preserve"> </w:t>
      </w:r>
      <w:r>
        <w:rPr>
          <w:b/>
          <w:bCs/>
        </w:rPr>
        <w:t xml:space="preserve">2.66</w:t>
      </w:r>
      <w:r>
        <w:t xml:space="preserve"> </w:t>
      </w:r>
      <w:r>
        <w:t xml:space="preserve">on the OR scale.</w:t>
      </w:r>
    </w:p>
    <w:p>
      <w:pPr>
        <w:pStyle w:val="BodyText"/>
      </w:pPr>
      <w:r>
        <w:rPr>
          <w:b/>
          <w:bCs/>
        </w:rPr>
        <w:t xml:space="preserve">Left hemisphere prior</w:t>
      </w:r>
      <w:r>
        <w:t xml:space="preserve">: This prior encodes the assumption that outcomes are more likely following left hemisphere ICH. A coefficient-specific prior is placed directly on the</w:t>
      </w:r>
      <w:r>
        <w:t xml:space="preserve"> </w:t>
      </w:r>
      <w:r>
        <w:rPr>
          <w:rStyle w:val="VerbatimChar"/>
        </w:rPr>
        <w:t xml:space="preserve">ich_lateralityRight</w:t>
      </w:r>
      <w:r>
        <w:t xml:space="preserve"> </w:t>
      </w:r>
      <w:r>
        <w:t xml:space="preserve">term, with mean</w:t>
      </w:r>
      <w:r>
        <w:t xml:space="preserve"> </w:t>
      </w:r>
      <w:r>
        <w:rPr>
          <w:b/>
          <w:bCs/>
        </w:rPr>
        <w:t xml:space="preserve">-0.22</w:t>
      </w:r>
      <w:r>
        <w:t xml:space="preserve"> </w:t>
      </w:r>
      <w:r>
        <w:t xml:space="preserve">and SD</w:t>
      </w:r>
      <w:r>
        <w:t xml:space="preserve"> </w:t>
      </w:r>
      <w:r>
        <w:rPr>
          <w:b/>
          <w:bCs/>
        </w:rPr>
        <w:t xml:space="preserve">0.175</w:t>
      </w:r>
      <w:r>
        <w:t xml:space="preserve">, placing the conditional OR for right hemisphere (relative to left) at</w:t>
      </w:r>
      <w:r>
        <w:t xml:space="preserve"> </w:t>
      </w:r>
      <w:r>
        <w:rPr>
          <w:b/>
          <w:bCs/>
        </w:rPr>
        <w:t xml:space="preserve">0.8</w:t>
      </w:r>
      <w:r>
        <w:t xml:space="preserve"> </w:t>
      </w:r>
      <w:r>
        <w:t xml:space="preserve">with 95% of the prior probability mass between</w:t>
      </w:r>
      <w:r>
        <w:t xml:space="preserve"> </w:t>
      </w:r>
      <w:r>
        <w:rPr>
          <w:b/>
          <w:bCs/>
        </w:rPr>
        <w:t xml:space="preserve">0.57</w:t>
      </w:r>
      <w:r>
        <w:t xml:space="preserve"> </w:t>
      </w:r>
      <w:r>
        <w:t xml:space="preserve">and</w:t>
      </w:r>
      <w:r>
        <w:t xml:space="preserve"> </w:t>
      </w:r>
      <w:r>
        <w:rPr>
          <w:b/>
          <w:bCs/>
        </w:rPr>
        <w:t xml:space="preserve">1.13</w:t>
      </w:r>
      <w:r>
        <w:t xml:space="preserve">.</w:t>
      </w:r>
    </w:p>
    <w:p>
      <w:pPr>
        <w:pStyle w:val="BodyText"/>
      </w:pPr>
      <w:r>
        <w:rPr>
          <w:b/>
          <w:bCs/>
        </w:rPr>
        <w:t xml:space="preserve">Right hemisphere prior</w:t>
      </w:r>
      <w:r>
        <w:t xml:space="preserve">: This prior encodes the assumption that outcomes are more likely following right hemisphere ICH. A coefficient-specific prior is placed on the</w:t>
      </w:r>
      <w:r>
        <w:t xml:space="preserve"> </w:t>
      </w:r>
      <w:r>
        <w:rPr>
          <w:rStyle w:val="VerbatimChar"/>
        </w:rPr>
        <w:t xml:space="preserve">ich_lateralityRight</w:t>
      </w:r>
      <w:r>
        <w:t xml:space="preserve"> </w:t>
      </w:r>
      <w:r>
        <w:t xml:space="preserve">term, with mean</w:t>
      </w:r>
      <w:r>
        <w:t xml:space="preserve"> </w:t>
      </w:r>
      <w:r>
        <w:rPr>
          <w:b/>
          <w:bCs/>
        </w:rPr>
        <w:t xml:space="preserve">0.18</w:t>
      </w:r>
      <w:r>
        <w:t xml:space="preserve"> </w:t>
      </w:r>
      <w:r>
        <w:t xml:space="preserve">and SD</w:t>
      </w:r>
      <w:r>
        <w:t xml:space="preserve"> </w:t>
      </w:r>
      <w:r>
        <w:rPr>
          <w:b/>
          <w:bCs/>
        </w:rPr>
        <w:t xml:space="preserve">0.175</w:t>
      </w:r>
      <w:r>
        <w:t xml:space="preserve">, placing the</w:t>
      </w:r>
      <w:r>
        <w:t xml:space="preserve"> </w:t>
      </w:r>
      <w:r>
        <w:t xml:space="preserve">conditional OR for right hemisphere at</w:t>
      </w:r>
      <w:r>
        <w:t xml:space="preserve"> </w:t>
      </w:r>
      <w:r>
        <w:rPr>
          <w:b/>
          <w:bCs/>
        </w:rPr>
        <w:t xml:space="preserve">1.2</w:t>
      </w:r>
      <w:r>
        <w:t xml:space="preserve"> </w:t>
      </w:r>
      <w:r>
        <w:t xml:space="preserve">with 95% of the prior probability mass between</w:t>
      </w:r>
      <w:r>
        <w:t xml:space="preserve"> </w:t>
      </w:r>
      <w:r>
        <w:rPr>
          <w:b/>
          <w:bCs/>
        </w:rPr>
        <w:t xml:space="preserve">0.85</w:t>
      </w:r>
      <w:r>
        <w:t xml:space="preserve"> </w:t>
      </w:r>
      <w:r>
        <w:t xml:space="preserve">and</w:t>
      </w:r>
      <w:r>
        <w:t xml:space="preserve"> </w:t>
      </w:r>
      <w:r>
        <w:rPr>
          <w:b/>
          <w:bCs/>
        </w:rPr>
        <w:t xml:space="preserve">1.69</w:t>
      </w:r>
      <w:r>
        <w:t xml:space="preserve">.</w:t>
      </w:r>
    </w:p>
    <w:p>
      <w:pPr>
        <w:pStyle w:val="BodyText"/>
      </w:pPr>
      <w:r>
        <w:rPr>
          <w:b/>
          <w:bCs/>
        </w:rPr>
        <w:t xml:space="preserve">Diffuse prior</w:t>
      </w:r>
      <w:r>
        <w:t xml:space="preserve">: This prior most closely approximates a frequentist analysis, in that the distribution is sufficiently wide to contribute minimal information to the posterior. The laterality coefficient is assigned a prior with mean</w:t>
      </w:r>
      <w:r>
        <w:t xml:space="preserve"> </w:t>
      </w:r>
      <w:r>
        <w:rPr>
          <w:b/>
          <w:bCs/>
        </w:rPr>
        <w:t xml:space="preserve">0</w:t>
      </w:r>
      <w:r>
        <w:t xml:space="preserve"> </w:t>
      </w:r>
      <w:r>
        <w:t xml:space="preserve">and SD</w:t>
      </w:r>
      <w:r>
        <w:t xml:space="preserve"> </w:t>
      </w:r>
      <w:r>
        <w:rPr>
          <w:b/>
          <w:bCs/>
        </w:rPr>
        <w:t xml:space="preserve">5</w:t>
      </w:r>
      <w:r>
        <w:t xml:space="preserve">,</w:t>
      </w:r>
      <w:r>
        <w:t xml:space="preserve"> </w:t>
      </w:r>
      <w:r>
        <w:t xml:space="preserve">corresponding to a conditional OR of</w:t>
      </w:r>
      <w:r>
        <w:t xml:space="preserve"> </w:t>
      </w:r>
      <w:r>
        <w:rPr>
          <w:b/>
          <w:bCs/>
        </w:rPr>
        <w:t xml:space="preserve">1</w:t>
      </w:r>
      <w:r>
        <w:t xml:space="preserve"> </w:t>
      </w:r>
      <w:r>
        <w:t xml:space="preserve">with 95% of the prior probability mass spanning</w:t>
      </w:r>
      <w:r>
        <w:t xml:space="preserve"> </w:t>
      </w:r>
      <w:r>
        <w:rPr>
          <w:b/>
          <w:bCs/>
        </w:rPr>
        <w:t xml:space="preserve">0</w:t>
      </w:r>
      <w:r>
        <w:t xml:space="preserve"> </w:t>
      </w:r>
      <w:r>
        <w:t xml:space="preserve">to</w:t>
      </w:r>
      <w:r>
        <w:t xml:space="preserve"> </w:t>
      </w:r>
      <w:r>
        <w:rPr>
          <w:b/>
          <w:bCs/>
        </w:rPr>
        <w:t xml:space="preserve">1.803374</w:t>
      </w:r>
      <w:r>
        <w:rPr>
          <w:b/>
          <w:bCs/>
        </w:rPr>
        <w:t xml:space="preserve">^{4}</w:t>
      </w:r>
      <w:r>
        <w:t xml:space="preserve"> </w:t>
      </w:r>
      <w:r>
        <w:t xml:space="preserve">— a range wide enough to be consistent with nearly any plausible effect size. An exception applies to the Days of Mechanical Ventilation model, where the diffuse prior SD was reduced to 2 on the log scale; because this outcome is modeled with a log-link negative binomial and continuous predictors are on their natural scales, a SD of 5 produces prior predictive counts many orders of magnitude outside any plausible clinical range.</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213"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41" w:name="mcmc-chain-convergence-and-resolution"/>
    <w:p>
      <w:pPr>
        <w:pStyle w:val="Heading3"/>
      </w:pPr>
      <w:r>
        <w:t xml:space="preserve">MCMC Chain Convergence and Resolution</w:t>
      </w:r>
    </w:p>
    <w:bookmarkStart w:id="75" w:name="neurosurgical-intervention"/>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74" w:name="tbl-neurosurgical-posterior-diag"/>
          <w:p>
            <w:pPr>
              <w:jc w:val="center"/>
            </w:pPr>
            <w:pPr>
              <w:jc w:val="left"/>
              <w:spacing w:before="200"/>
              <w:pStyle w:val="ImageCaption"/>
            </w:pPr>
            <w:r>
              <w:t xml:space="preserve">Table 10</w:t>
            </w:r>
          </w:p>
          <w:p>
            <w:pPr>
              <w:pStyle w:val="CaptionedFigure"/>
              <w:jc w:val="center"/>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tbl-neurosurgical-posterior-diag-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Neurosurgical Intervention</w:t>
            </w:r>
          </w:p>
          <w:bookmarkEnd w:id="74"/>
        </w:tc>
      </w:tr>
    </w:tbl>
    <w:bookmarkEnd w:id="75"/>
    <w:bookmarkStart w:id="80" w:name="ventriculostomy"/>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79" w:name="tbl-evd-posterior-diag"/>
          <w:p>
            <w:pPr>
              <w:jc w:val="center"/>
            </w:pPr>
            <w:pPr>
              <w:jc w:val="left"/>
              <w:spacing w:before="200"/>
              <w:pStyle w:val="ImageCaption"/>
            </w:pPr>
            <w:r>
              <w:t xml:space="preserve">Table 11</w:t>
            </w:r>
          </w:p>
          <w:p>
            <w:pPr>
              <w:pStyle w:val="CaptionedFigure"/>
              <w:jc w:val="center"/>
            </w:pPr>
            <w:r>
              <w:drawing>
                <wp:inline>
                  <wp:extent cx="4620126" cy="9240252"/>
                  <wp:effectExtent b="0" l="0" r="0" t="0"/>
                  <wp:docPr descr="Posterior diagnostic checks for Ventriculostomy" title="" id="77" name="Picture"/>
                  <a:graphic>
                    <a:graphicData uri="http://schemas.openxmlformats.org/drawingml/2006/picture">
                      <pic:pic>
                        <pic:nvPicPr>
                          <pic:cNvPr descr="manuscript_supplement_files/figure-docx/tbl-evd-posterior-diag-1.png" id="78" name="Picture"/>
                          <pic:cNvPicPr>
                            <a:picLocks noChangeArrowheads="1" noChangeAspect="1"/>
                          </pic:cNvPicPr>
                        </pic:nvPicPr>
                        <pic:blipFill>
                          <a:blip r:embed="rId7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Ventriculostomy</w:t>
            </w:r>
          </w:p>
          <w:bookmarkEnd w:id="79"/>
        </w:tc>
      </w:tr>
    </w:tbl>
    <w:bookmarkEnd w:id="80"/>
    <w:bookmarkStart w:id="85" w:name="tracheostomy"/>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84" w:name="tbl-trach-posterior-diag"/>
          <w:p>
            <w:pPr>
              <w:jc w:val="center"/>
            </w:pPr>
            <w:pPr>
              <w:jc w:val="left"/>
              <w:spacing w:before="200"/>
              <w:pStyle w:val="ImageCaption"/>
            </w:pPr>
            <w:r>
              <w:t xml:space="preserve">Table 12</w:t>
            </w:r>
          </w:p>
          <w:p>
            <w:pPr>
              <w:pStyle w:val="CaptionedFigure"/>
              <w:jc w:val="center"/>
            </w:pPr>
            <w:r>
              <w:drawing>
                <wp:inline>
                  <wp:extent cx="4620126" cy="9240252"/>
                  <wp:effectExtent b="0" l="0" r="0" t="0"/>
                  <wp:docPr descr="Posterior diagnostic checks for Tracheostomy" title="" id="82" name="Picture"/>
                  <a:graphic>
                    <a:graphicData uri="http://schemas.openxmlformats.org/drawingml/2006/picture">
                      <pic:pic>
                        <pic:nvPicPr>
                          <pic:cNvPr descr="manuscript_supplement_files/figure-docx/tbl-trach-posterior-diag-1.png" id="83" name="Picture"/>
                          <pic:cNvPicPr>
                            <a:picLocks noChangeArrowheads="1" noChangeAspect="1"/>
                          </pic:cNvPicPr>
                        </pic:nvPicPr>
                        <pic:blipFill>
                          <a:blip r:embed="rId8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Tracheostomy</w:t>
            </w:r>
          </w:p>
          <w:bookmarkEnd w:id="84"/>
        </w:tc>
      </w:tr>
    </w:tbl>
    <w:bookmarkEnd w:id="85"/>
    <w:bookmarkStart w:id="90" w:name="days-of-mechanical-ventilation"/>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89" w:name="tbl-vent-posterior-diag"/>
          <w:p>
            <w:pPr>
              <w:jc w:val="center"/>
            </w:pPr>
            <w:pPr>
              <w:jc w:val="left"/>
              <w:spacing w:before="200"/>
              <w:pStyle w:val="ImageCaption"/>
            </w:pPr>
            <w:r>
              <w:t xml:space="preserve">Table 13</w:t>
            </w:r>
          </w:p>
          <w:p>
            <w:pPr>
              <w:pStyle w:val="CaptionedFigure"/>
              <w:jc w:val="center"/>
            </w:pPr>
            <w:r>
              <w:drawing>
                <wp:inline>
                  <wp:extent cx="4620126" cy="9240252"/>
                  <wp:effectExtent b="0" l="0" r="0" t="0"/>
                  <wp:docPr descr="Posterior diagnostic checks for Days of Mechanical Ventilation" title="" id="87" name="Picture"/>
                  <a:graphic>
                    <a:graphicData uri="http://schemas.openxmlformats.org/drawingml/2006/picture">
                      <pic:pic>
                        <pic:nvPicPr>
                          <pic:cNvPr descr="manuscript_supplement_files/figure-docx/tbl-vent-posterior-diag-1.png" id="88" name="Picture"/>
                          <pic:cNvPicPr>
                            <a:picLocks noChangeArrowheads="1" noChangeAspect="1"/>
                          </pic:cNvPicPr>
                        </pic:nvPicPr>
                        <pic:blipFill>
                          <a:blip r:embed="rId8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Days of Mechanical Ventilation</w:t>
            </w:r>
          </w:p>
          <w:bookmarkEnd w:id="89"/>
        </w:tc>
      </w:tr>
    </w:tbl>
    <w:bookmarkEnd w:id="90"/>
    <w:bookmarkStart w:id="95" w:name="comfort-care"/>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94" w:name="tbl-comfort-posterior-diag"/>
          <w:p>
            <w:pPr>
              <w:jc w:val="center"/>
            </w:pPr>
            <w:pPr>
              <w:jc w:val="left"/>
              <w:spacing w:before="200"/>
              <w:pStyle w:val="ImageCaption"/>
            </w:pPr>
            <w:r>
              <w:t xml:space="preserve">Table 14</w:t>
            </w:r>
          </w:p>
          <w:p>
            <w:pPr>
              <w:pStyle w:val="CaptionedFigure"/>
              <w:jc w:val="center"/>
            </w:pPr>
            <w:r>
              <w:drawing>
                <wp:inline>
                  <wp:extent cx="4620126" cy="9240252"/>
                  <wp:effectExtent b="0" l="0" r="0" t="0"/>
                  <wp:docPr descr="Posterior diagnostic checks for Comfort Care" title="" id="92" name="Picture"/>
                  <a:graphic>
                    <a:graphicData uri="http://schemas.openxmlformats.org/drawingml/2006/picture">
                      <pic:pic>
                        <pic:nvPicPr>
                          <pic:cNvPr descr="manuscript_supplement_files/figure-docx/tbl-comfort-posterior-diag-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Comfort Care</w:t>
            </w:r>
          </w:p>
          <w:bookmarkEnd w:id="94"/>
        </w:tc>
      </w:tr>
    </w:tbl>
    <w:bookmarkEnd w:id="95"/>
    <w:bookmarkStart w:id="100" w:name="early-wlst"/>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99" w:name="tbl-earlywlst-posterior-diag"/>
          <w:p>
            <w:pPr>
              <w:jc w:val="center"/>
            </w:pPr>
            <w:pPr>
              <w:jc w:val="left"/>
              <w:spacing w:before="200"/>
              <w:pStyle w:val="ImageCaption"/>
            </w:pPr>
            <w:r>
              <w:t xml:space="preserve">Table 15</w:t>
            </w:r>
          </w:p>
          <w:p>
            <w:pPr>
              <w:pStyle w:val="CaptionedFigure"/>
              <w:jc w:val="center"/>
            </w:pPr>
            <w:r>
              <w:drawing>
                <wp:inline>
                  <wp:extent cx="4620126" cy="9240252"/>
                  <wp:effectExtent b="0" l="0" r="0" t="0"/>
                  <wp:docPr descr="Posterior diagnostic checks for Early WLST" title="" id="97" name="Picture"/>
                  <a:graphic>
                    <a:graphicData uri="http://schemas.openxmlformats.org/drawingml/2006/picture">
                      <pic:pic>
                        <pic:nvPicPr>
                          <pic:cNvPr descr="manuscript_supplement_files/figure-docx/tbl-earlywlst-posterior-diag-1.png" id="98" name="Picture"/>
                          <pic:cNvPicPr>
                            <a:picLocks noChangeArrowheads="1" noChangeAspect="1"/>
                          </pic:cNvPicPr>
                        </pic:nvPicPr>
                        <pic:blipFill>
                          <a:blip r:embed="rId9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Early WLST</w:t>
            </w:r>
          </w:p>
          <w:bookmarkEnd w:id="99"/>
        </w:tc>
      </w:tr>
    </w:tbl>
    <w:bookmarkEnd w:id="100"/>
    <w:bookmarkStart w:id="105" w:name="dnr"/>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04" w:name="tbl-dnr-posterior-diag"/>
          <w:p>
            <w:pPr>
              <w:jc w:val="center"/>
            </w:pPr>
            <w:pPr>
              <w:jc w:val="left"/>
              <w:spacing w:before="200"/>
              <w:pStyle w:val="ImageCaption"/>
            </w:pPr>
            <w:r>
              <w:t xml:space="preserve">Table 16</w:t>
            </w:r>
          </w:p>
          <w:p>
            <w:pPr>
              <w:pStyle w:val="CaptionedFigure"/>
              <w:jc w:val="center"/>
            </w:pPr>
            <w:r>
              <w:drawing>
                <wp:inline>
                  <wp:extent cx="4620126" cy="9240252"/>
                  <wp:effectExtent b="0" l="0" r="0" t="0"/>
                  <wp:docPr descr="Posterior diagnostic checks for DNR" title="" id="102" name="Picture"/>
                  <a:graphic>
                    <a:graphicData uri="http://schemas.openxmlformats.org/drawingml/2006/picture">
                      <pic:pic>
                        <pic:nvPicPr>
                          <pic:cNvPr descr="manuscript_supplement_files/figure-docx/tbl-dnr-posterior-diag-1.png" id="103" name="Picture"/>
                          <pic:cNvPicPr>
                            <a:picLocks noChangeArrowheads="1" noChangeAspect="1"/>
                          </pic:cNvPicPr>
                        </pic:nvPicPr>
                        <pic:blipFill>
                          <a:blip r:embed="rId10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DNR</w:t>
            </w:r>
          </w:p>
          <w:bookmarkEnd w:id="104"/>
        </w:tc>
      </w:tr>
    </w:tbl>
    <w:bookmarkEnd w:id="105"/>
    <w:bookmarkStart w:id="110" w:name="mrs-90"/>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09" w:name="tbl-mrs90-posterior-diag"/>
          <w:p>
            <w:pPr>
              <w:jc w:val="center"/>
            </w:pPr>
            <w:pPr>
              <w:jc w:val="left"/>
              <w:spacing w:before="200"/>
              <w:pStyle w:val="ImageCaption"/>
            </w:pPr>
            <w:r>
              <w:t xml:space="preserve">Table 17</w:t>
            </w:r>
          </w:p>
          <w:p>
            <w:pPr>
              <w:pStyle w:val="CaptionedFigure"/>
              <w:jc w:val="center"/>
            </w:pPr>
            <w:r>
              <w:drawing>
                <wp:inline>
                  <wp:extent cx="4620126" cy="9240252"/>
                  <wp:effectExtent b="0" l="0" r="0" t="0"/>
                  <wp:docPr descr="Posterior diagnostic checks for Modified Rankin Score at 90 Days" title="" id="107" name="Picture"/>
                  <a:graphic>
                    <a:graphicData uri="http://schemas.openxmlformats.org/drawingml/2006/picture">
                      <pic:pic>
                        <pic:nvPicPr>
                          <pic:cNvPr descr="manuscript_supplement_files/figure-docx/tbl-mrs90-posterior-diag-1.png" id="108" name="Picture"/>
                          <pic:cNvPicPr>
                            <a:picLocks noChangeArrowheads="1" noChangeAspect="1"/>
                          </pic:cNvPicPr>
                        </pic:nvPicPr>
                        <pic:blipFill>
                          <a:blip r:embed="rId10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Modified Rankin Score at 90 Days</w:t>
            </w:r>
          </w:p>
          <w:bookmarkEnd w:id="109"/>
        </w:tc>
      </w:tr>
    </w:tbl>
    <w:bookmarkEnd w:id="110"/>
    <w:bookmarkStart w:id="115" w:name="euroqol-mobility-90"/>
    <w:p>
      <w:pPr>
        <w:pStyle w:val="Heading4"/>
      </w:pPr>
      <w:r>
        <w:t xml:space="preserve">EuroQOL Mobility 90</w:t>
      </w:r>
    </w:p>
    <w:tbl>
      <w:tblPr>
        <w:tblStyle w:val="Table"/>
        <w:tblW w:type="pct" w:w="5000"/>
        <w:tblLayout w:type="fixed"/>
        <w:tblLook w:firstRow="0" w:lastRow="0" w:firstColumn="0" w:lastColumn="0" w:noHBand="0" w:noVBand="0" w:val="0000"/>
      </w:tblPr>
      <w:tblGrid>
        <w:gridCol w:w="7920"/>
      </w:tblGrid>
      <w:tr>
        <w:tc>
          <w:tcPr/>
          <w:bookmarkStart w:id="114" w:name="tbl-euro-mobility-posterior-diag"/>
          <w:p>
            <w:pPr>
              <w:jc w:val="center"/>
            </w:pPr>
            <w:pPr>
              <w:jc w:val="left"/>
              <w:spacing w:before="200"/>
              <w:pStyle w:val="ImageCaption"/>
            </w:pPr>
            <w:r>
              <w:t xml:space="preserve">Table 18</w:t>
            </w:r>
          </w:p>
          <w:p>
            <w:pPr>
              <w:pStyle w:val="CaptionedFigure"/>
              <w:jc w:val="center"/>
            </w:pPr>
            <w:r>
              <w:drawing>
                <wp:inline>
                  <wp:extent cx="4620126" cy="9240252"/>
                  <wp:effectExtent b="0" l="0" r="0" t="0"/>
                  <wp:docPr descr="Posterior diagnostic checks for EuroQOL — Mobility at 90 Days" title="" id="112" name="Picture"/>
                  <a:graphic>
                    <a:graphicData uri="http://schemas.openxmlformats.org/drawingml/2006/picture">
                      <pic:pic>
                        <pic:nvPicPr>
                          <pic:cNvPr descr="manuscript_supplement_files/figure-docx/tbl-euro-mobility-posterior-diag-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Mobility at 90 Days</w:t>
            </w:r>
          </w:p>
          <w:bookmarkEnd w:id="114"/>
        </w:tc>
      </w:tr>
    </w:tbl>
    <w:bookmarkEnd w:id="115"/>
    <w:bookmarkStart w:id="120" w:name="euroqol-self-care-90"/>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19" w:name="tbl-euro-selfcare-posterior-diag"/>
          <w:p>
            <w:pPr>
              <w:jc w:val="center"/>
            </w:pPr>
            <w:pPr>
              <w:jc w:val="left"/>
              <w:spacing w:before="200"/>
              <w:pStyle w:val="ImageCaption"/>
            </w:pPr>
            <w:r>
              <w:t xml:space="preserve">Table 19</w:t>
            </w:r>
          </w:p>
          <w:p>
            <w:pPr>
              <w:pStyle w:val="CaptionedFigure"/>
              <w:jc w:val="center"/>
            </w:pPr>
            <w:r>
              <w:drawing>
                <wp:inline>
                  <wp:extent cx="4620126" cy="9240252"/>
                  <wp:effectExtent b="0" l="0" r="0" t="0"/>
                  <wp:docPr descr="Posterior diagnostic checks for EuroQOL — Self-Care at 90 Days" title="" id="117" name="Picture"/>
                  <a:graphic>
                    <a:graphicData uri="http://schemas.openxmlformats.org/drawingml/2006/picture">
                      <pic:pic>
                        <pic:nvPicPr>
                          <pic:cNvPr descr="manuscript_supplement_files/figure-docx/tbl-euro-selfcare-posterior-diag-1.png" id="118" name="Picture"/>
                          <pic:cNvPicPr>
                            <a:picLocks noChangeArrowheads="1" noChangeAspect="1"/>
                          </pic:cNvPicPr>
                        </pic:nvPicPr>
                        <pic:blipFill>
                          <a:blip r:embed="rId11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Self-Care at 90 Days</w:t>
            </w:r>
          </w:p>
          <w:bookmarkEnd w:id="119"/>
        </w:tc>
      </w:tr>
    </w:tbl>
    <w:bookmarkEnd w:id="120"/>
    <w:bookmarkStart w:id="125" w:name="euroqol-usual-activities-90"/>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24" w:name="tbl-euro-usual-posterior-diag"/>
          <w:p>
            <w:pPr>
              <w:jc w:val="center"/>
            </w:pPr>
            <w:pPr>
              <w:jc w:val="left"/>
              <w:spacing w:before="200"/>
              <w:pStyle w:val="ImageCaption"/>
            </w:pPr>
            <w:r>
              <w:t xml:space="preserve">Table 20</w:t>
            </w:r>
          </w:p>
          <w:p>
            <w:pPr>
              <w:pStyle w:val="CaptionedFigure"/>
              <w:jc w:val="center"/>
            </w:pPr>
            <w:r>
              <w:drawing>
                <wp:inline>
                  <wp:extent cx="4620126" cy="9240252"/>
                  <wp:effectExtent b="0" l="0" r="0" t="0"/>
                  <wp:docPr descr="Posterior diagnostic checks for EuroQOL — Usual Activities at 90 Days" title="" id="122" name="Picture"/>
                  <a:graphic>
                    <a:graphicData uri="http://schemas.openxmlformats.org/drawingml/2006/picture">
                      <pic:pic>
                        <pic:nvPicPr>
                          <pic:cNvPr descr="manuscript_supplement_files/figure-docx/tbl-euro-usual-posterior-diag-1.png" id="123" name="Picture"/>
                          <pic:cNvPicPr>
                            <a:picLocks noChangeArrowheads="1" noChangeAspect="1"/>
                          </pic:cNvPicPr>
                        </pic:nvPicPr>
                        <pic:blipFill>
                          <a:blip r:embed="rId1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Usual Activities at 90 Days</w:t>
            </w:r>
          </w:p>
          <w:bookmarkEnd w:id="124"/>
        </w:tc>
      </w:tr>
    </w:tbl>
    <w:bookmarkEnd w:id="125"/>
    <w:bookmarkStart w:id="130" w:name="euroqol-paindiscomfort-90"/>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129" w:name="tbl-euro-pain-posterior-diag"/>
          <w:p>
            <w:pPr>
              <w:jc w:val="center"/>
            </w:pPr>
            <w:pPr>
              <w:jc w:val="left"/>
              <w:spacing w:before="200"/>
              <w:pStyle w:val="ImageCaption"/>
            </w:pPr>
            <w:r>
              <w:t xml:space="preserve">Table 21</w:t>
            </w:r>
          </w:p>
          <w:p>
            <w:pPr>
              <w:pStyle w:val="CaptionedFigure"/>
              <w:jc w:val="center"/>
            </w:pPr>
            <w:r>
              <w:drawing>
                <wp:inline>
                  <wp:extent cx="4620126" cy="9240252"/>
                  <wp:effectExtent b="0" l="0" r="0" t="0"/>
                  <wp:docPr descr="Posterior diagnostic checks for EuroQOL — Pain/Discomfort at 90 Days" title="" id="127" name="Picture"/>
                  <a:graphic>
                    <a:graphicData uri="http://schemas.openxmlformats.org/drawingml/2006/picture">
                      <pic:pic>
                        <pic:nvPicPr>
                          <pic:cNvPr descr="manuscript_supplement_files/figure-docx/tbl-euro-pain-posterior-diag-1.png" id="128" name="Picture"/>
                          <pic:cNvPicPr>
                            <a:picLocks noChangeArrowheads="1" noChangeAspect="1"/>
                          </pic:cNvPicPr>
                        </pic:nvPicPr>
                        <pic:blipFill>
                          <a:blip r:embed="rId12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Pain/Discomfort at 90 Days</w:t>
            </w:r>
          </w:p>
          <w:bookmarkEnd w:id="129"/>
        </w:tc>
      </w:tr>
    </w:tbl>
    <w:bookmarkEnd w:id="130"/>
    <w:bookmarkStart w:id="135" w:name="euroqol-anxietydepression-90"/>
    <w:p>
      <w:pPr>
        <w:pStyle w:val="Heading4"/>
      </w:pPr>
      <w:r>
        <w:t xml:space="preserve">EuroQOL Anxiety/Depression 90</w:t>
      </w:r>
    </w:p>
    <w:tbl>
      <w:tblPr>
        <w:tblStyle w:val="Table"/>
        <w:tblW w:type="pct" w:w="5000"/>
        <w:tblLayout w:type="fixed"/>
        <w:tblLook w:firstRow="0" w:lastRow="0" w:firstColumn="0" w:lastColumn="0" w:noHBand="0" w:noVBand="0" w:val="0000"/>
      </w:tblPr>
      <w:tblGrid>
        <w:gridCol w:w="7920"/>
      </w:tblGrid>
      <w:tr>
        <w:tc>
          <w:tcPr/>
          <w:bookmarkStart w:id="134" w:name="tbl-euro-anxiety-posterior-diag"/>
          <w:p>
            <w:pPr>
              <w:jc w:val="center"/>
            </w:pPr>
            <w:pPr>
              <w:jc w:val="left"/>
              <w:spacing w:before="200"/>
              <w:pStyle w:val="ImageCaption"/>
            </w:pPr>
            <w:r>
              <w:t xml:space="preserve">Table 22</w:t>
            </w:r>
          </w:p>
          <w:p>
            <w:pPr>
              <w:pStyle w:val="CaptionedFigure"/>
              <w:jc w:val="center"/>
            </w:pPr>
            <w:r>
              <w:drawing>
                <wp:inline>
                  <wp:extent cx="4620126" cy="9240252"/>
                  <wp:effectExtent b="0" l="0" r="0" t="0"/>
                  <wp:docPr descr="Posterior diagnostic checks for EuroQOL — Anxiety/Depression at 90 Days" title="" id="132" name="Picture"/>
                  <a:graphic>
                    <a:graphicData uri="http://schemas.openxmlformats.org/drawingml/2006/picture">
                      <pic:pic>
                        <pic:nvPicPr>
                          <pic:cNvPr descr="manuscript_supplement_files/figure-docx/tbl-euro-anxiety-posterior-diag-1.png" id="133" name="Picture"/>
                          <pic:cNvPicPr>
                            <a:picLocks noChangeArrowheads="1" noChangeAspect="1"/>
                          </pic:cNvPicPr>
                        </pic:nvPicPr>
                        <pic:blipFill>
                          <a:blip r:embed="rId13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Anxiety/Depression at 90 Days</w:t>
            </w:r>
          </w:p>
          <w:bookmarkEnd w:id="134"/>
        </w:tc>
      </w:tr>
    </w:tbl>
    <w:bookmarkEnd w:id="135"/>
    <w:bookmarkStart w:id="140" w:name="euroqol-vas-90"/>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139" w:name="tbl-euro-vas-posterior-diag"/>
          <w:p>
            <w:pPr>
              <w:jc w:val="center"/>
            </w:pPr>
            <w:pPr>
              <w:jc w:val="left"/>
              <w:spacing w:before="200"/>
              <w:pStyle w:val="ImageCaption"/>
            </w:pPr>
            <w:r>
              <w:t xml:space="preserve">Table 23</w:t>
            </w:r>
          </w:p>
          <w:p>
            <w:pPr>
              <w:pStyle w:val="CaptionedFigure"/>
              <w:jc w:val="center"/>
            </w:pPr>
            <w:r>
              <w:drawing>
                <wp:inline>
                  <wp:extent cx="4620126" cy="9240252"/>
                  <wp:effectExtent b="0" l="0" r="0" t="0"/>
                  <wp:docPr descr="Posterior diagnostic checks for EuroQOL — VAS at 90 Days" title="" id="137" name="Picture"/>
                  <a:graphic>
                    <a:graphicData uri="http://schemas.openxmlformats.org/drawingml/2006/picture">
                      <pic:pic>
                        <pic:nvPicPr>
                          <pic:cNvPr descr="manuscript_supplement_files/figure-docx/tbl-euro-vas-posterior-diag-1.png" id="138" name="Picture"/>
                          <pic:cNvPicPr>
                            <a:picLocks noChangeArrowheads="1" noChangeAspect="1"/>
                          </pic:cNvPicPr>
                        </pic:nvPicPr>
                        <pic:blipFill>
                          <a:blip r:embed="rId13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VAS at 90 Days</w:t>
            </w:r>
          </w:p>
          <w:bookmarkEnd w:id="139"/>
        </w:tc>
      </w:tr>
    </w:tbl>
    <w:bookmarkEnd w:id="140"/>
    <w:bookmarkEnd w:id="141"/>
    <w:bookmarkStart w:id="212" w:name="posterior-predictive-checks"/>
    <w:p>
      <w:pPr>
        <w:pStyle w:val="Heading3"/>
      </w:pPr>
      <w:r>
        <w:t xml:space="preserve">Posterior predictive checks</w:t>
      </w:r>
    </w:p>
    <w:bookmarkStart w:id="146" w:name="neurosurgical-intervention-1"/>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145" w:name="tbl-neurosurgery-posterior-checks"/>
          <w:p>
            <w:pPr>
              <w:jc w:val="center"/>
            </w:pPr>
            <w:pPr>
              <w:jc w:val="left"/>
              <w:spacing w:before="200"/>
              <w:pStyle w:val="ImageCaption"/>
            </w:pPr>
            <w:r>
              <w:t xml:space="preserve">Table 24</w:t>
            </w:r>
          </w:p>
          <w:p>
            <w:pPr>
              <w:pStyle w:val="CaptionedFigure"/>
              <w:jc w:val="center"/>
            </w:pPr>
            <w:r>
              <w:drawing>
                <wp:inline>
                  <wp:extent cx="4620126" cy="3696101"/>
                  <wp:effectExtent b="0" l="0" r="0" t="0"/>
                  <wp:docPr descr="Posterior predictive checks for Neurosurgical Intervention" title="" id="143" name="Picture"/>
                  <a:graphic>
                    <a:graphicData uri="http://schemas.openxmlformats.org/drawingml/2006/picture">
                      <pic:pic>
                        <pic:nvPicPr>
                          <pic:cNvPr descr="manuscript_supplement_files/figure-docx/tbl-neurosurgery-posterior-checks-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Neurosurgical Intervention</w:t>
            </w:r>
          </w:p>
          <w:bookmarkEnd w:id="145"/>
        </w:tc>
      </w:tr>
    </w:tbl>
    <w:bookmarkEnd w:id="146"/>
    <w:bookmarkStart w:id="151" w:name="ventriculostomy-1"/>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150" w:name="tbl-evd-posterior-checks"/>
          <w:p>
            <w:pPr>
              <w:jc w:val="center"/>
            </w:pPr>
            <w:pPr>
              <w:jc w:val="left"/>
              <w:spacing w:before="200"/>
              <w:pStyle w:val="ImageCaption"/>
            </w:pPr>
            <w:r>
              <w:t xml:space="preserve">Table 25</w:t>
            </w:r>
          </w:p>
          <w:p>
            <w:pPr>
              <w:pStyle w:val="CaptionedFigure"/>
              <w:jc w:val="center"/>
            </w:pPr>
            <w:r>
              <w:drawing>
                <wp:inline>
                  <wp:extent cx="4620126" cy="3696101"/>
                  <wp:effectExtent b="0" l="0" r="0" t="0"/>
                  <wp:docPr descr="Posterior predictive checks for Ventriculostomy" title="" id="148" name="Picture"/>
                  <a:graphic>
                    <a:graphicData uri="http://schemas.openxmlformats.org/drawingml/2006/picture">
                      <pic:pic>
                        <pic:nvPicPr>
                          <pic:cNvPr descr="manuscript_supplement_files/figure-docx/tbl-evd-posterior-checks-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Ventriculostomy</w:t>
            </w:r>
          </w:p>
          <w:bookmarkEnd w:id="150"/>
        </w:tc>
      </w:tr>
    </w:tbl>
    <w:bookmarkEnd w:id="151"/>
    <w:bookmarkStart w:id="156" w:name="tracheostomy-1"/>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155" w:name="tbl-trach-posterior-checks"/>
          <w:p>
            <w:pPr>
              <w:jc w:val="center"/>
            </w:pPr>
            <w:pPr>
              <w:jc w:val="left"/>
              <w:spacing w:before="200"/>
              <w:pStyle w:val="ImageCaption"/>
            </w:pPr>
            <w:r>
              <w:t xml:space="preserve">Table 26</w:t>
            </w:r>
          </w:p>
          <w:p>
            <w:pPr>
              <w:pStyle w:val="CaptionedFigure"/>
              <w:jc w:val="center"/>
            </w:pPr>
            <w:r>
              <w:drawing>
                <wp:inline>
                  <wp:extent cx="4620126" cy="3696101"/>
                  <wp:effectExtent b="0" l="0" r="0" t="0"/>
                  <wp:docPr descr="Posterior predictive checks for Tracheostomy" title="" id="153" name="Picture"/>
                  <a:graphic>
                    <a:graphicData uri="http://schemas.openxmlformats.org/drawingml/2006/picture">
                      <pic:pic>
                        <pic:nvPicPr>
                          <pic:cNvPr descr="manuscript_supplement_files/figure-docx/tbl-trach-posterior-checks-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Tracheostomy</w:t>
            </w:r>
          </w:p>
          <w:bookmarkEnd w:id="155"/>
        </w:tc>
      </w:tr>
    </w:tbl>
    <w:bookmarkEnd w:id="156"/>
    <w:bookmarkStart w:id="161" w:name="days-of-mechanical-ventilation-1"/>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160" w:name="tbl-vent-posterior-checks"/>
          <w:p>
            <w:pPr>
              <w:jc w:val="center"/>
            </w:pPr>
            <w:pPr>
              <w:jc w:val="left"/>
              <w:spacing w:before="200"/>
              <w:pStyle w:val="ImageCaption"/>
            </w:pPr>
            <w:r>
              <w:t xml:space="preserve">Table 27</w:t>
            </w:r>
          </w:p>
          <w:p>
            <w:pPr>
              <w:pStyle w:val="CaptionedFigure"/>
              <w:jc w:val="center"/>
            </w:pPr>
            <w:r>
              <w:drawing>
                <wp:inline>
                  <wp:extent cx="4620126" cy="3696101"/>
                  <wp:effectExtent b="0" l="0" r="0" t="0"/>
                  <wp:docPr descr="Posterior predictive checks for Days of Mechanical Ventilation" title="" id="158" name="Picture"/>
                  <a:graphic>
                    <a:graphicData uri="http://schemas.openxmlformats.org/drawingml/2006/picture">
                      <pic:pic>
                        <pic:nvPicPr>
                          <pic:cNvPr descr="manuscript_supplement_files/figure-docx/tbl-vent-posterior-check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Days of Mechanical Ventilation</w:t>
            </w:r>
          </w:p>
          <w:bookmarkEnd w:id="160"/>
        </w:tc>
      </w:tr>
    </w:tbl>
    <w:bookmarkEnd w:id="161"/>
    <w:bookmarkStart w:id="166" w:name="comfort-care-1"/>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65" w:name="tbl-comfort-posterior-checks"/>
          <w:p>
            <w:pPr>
              <w:jc w:val="center"/>
            </w:pPr>
            <w:pPr>
              <w:jc w:val="left"/>
              <w:spacing w:before="200"/>
              <w:pStyle w:val="ImageCaption"/>
            </w:pPr>
            <w:r>
              <w:t xml:space="preserve">Table 28</w:t>
            </w:r>
          </w:p>
          <w:p>
            <w:pPr>
              <w:pStyle w:val="CaptionedFigure"/>
              <w:jc w:val="center"/>
            </w:pPr>
            <w:r>
              <w:drawing>
                <wp:inline>
                  <wp:extent cx="4620126" cy="3696101"/>
                  <wp:effectExtent b="0" l="0" r="0" t="0"/>
                  <wp:docPr descr="Posterior predictive checks for Comfort Care" title="" id="163" name="Picture"/>
                  <a:graphic>
                    <a:graphicData uri="http://schemas.openxmlformats.org/drawingml/2006/picture">
                      <pic:pic>
                        <pic:nvPicPr>
                          <pic:cNvPr descr="manuscript_supplement_files/figure-docx/tbl-comfort-posterior-checks-1.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Comfort Care</w:t>
            </w:r>
          </w:p>
          <w:bookmarkEnd w:id="165"/>
        </w:tc>
      </w:tr>
    </w:tbl>
    <w:bookmarkEnd w:id="166"/>
    <w:bookmarkStart w:id="171" w:name="early-wlst-1"/>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70" w:name="tbl-earlywlst-posterior-checks"/>
          <w:p>
            <w:pPr>
              <w:jc w:val="center"/>
            </w:pPr>
            <w:pPr>
              <w:jc w:val="left"/>
              <w:spacing w:before="200"/>
              <w:pStyle w:val="ImageCaption"/>
            </w:pPr>
            <w:r>
              <w:t xml:space="preserve">Table 29</w:t>
            </w:r>
          </w:p>
          <w:p>
            <w:pPr>
              <w:pStyle w:val="CaptionedFigure"/>
              <w:jc w:val="center"/>
            </w:pPr>
            <w:r>
              <w:drawing>
                <wp:inline>
                  <wp:extent cx="4620126" cy="3696101"/>
                  <wp:effectExtent b="0" l="0" r="0" t="0"/>
                  <wp:docPr descr="Posterior predictive checks for Early WLST" title="" id="168" name="Picture"/>
                  <a:graphic>
                    <a:graphicData uri="http://schemas.openxmlformats.org/drawingml/2006/picture">
                      <pic:pic>
                        <pic:nvPicPr>
                          <pic:cNvPr descr="manuscript_supplement_files/figure-docx/tbl-earlywlst-posterior-checks-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Early WLST</w:t>
            </w:r>
          </w:p>
          <w:bookmarkEnd w:id="170"/>
        </w:tc>
      </w:tr>
    </w:tbl>
    <w:bookmarkEnd w:id="171"/>
    <w:bookmarkStart w:id="176" w:name="dnr-1"/>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75" w:name="tbl-dnr-posterior-checks"/>
          <w:p>
            <w:pPr>
              <w:jc w:val="center"/>
            </w:pPr>
            <w:pPr>
              <w:jc w:val="left"/>
              <w:spacing w:before="200"/>
              <w:pStyle w:val="ImageCaption"/>
            </w:pPr>
            <w:r>
              <w:t xml:space="preserve">Table 30</w:t>
            </w:r>
          </w:p>
          <w:p>
            <w:pPr>
              <w:pStyle w:val="CaptionedFigure"/>
              <w:jc w:val="center"/>
            </w:pPr>
            <w:r>
              <w:drawing>
                <wp:inline>
                  <wp:extent cx="4620126" cy="3696101"/>
                  <wp:effectExtent b="0" l="0" r="0" t="0"/>
                  <wp:docPr descr="Posterior predictive checks for DNR" title="" id="173" name="Picture"/>
                  <a:graphic>
                    <a:graphicData uri="http://schemas.openxmlformats.org/drawingml/2006/picture">
                      <pic:pic>
                        <pic:nvPicPr>
                          <pic:cNvPr descr="manuscript_supplement_files/figure-docx/tbl-dnr-posterior-checks-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DNR</w:t>
            </w:r>
          </w:p>
          <w:bookmarkEnd w:id="175"/>
        </w:tc>
      </w:tr>
    </w:tbl>
    <w:bookmarkEnd w:id="176"/>
    <w:bookmarkStart w:id="181" w:name="mrs-90-1"/>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80" w:name="tbl-mrs90-posterior-checks"/>
          <w:p>
            <w:pPr>
              <w:jc w:val="center"/>
            </w:pPr>
            <w:pPr>
              <w:jc w:val="left"/>
              <w:spacing w:before="200"/>
              <w:pStyle w:val="ImageCaption"/>
            </w:pPr>
            <w:r>
              <w:t xml:space="preserve">Table 31</w:t>
            </w:r>
          </w:p>
          <w:p>
            <w:pPr>
              <w:pStyle w:val="CaptionedFigure"/>
              <w:jc w:val="center"/>
            </w:pPr>
            <w:r>
              <w:drawing>
                <wp:inline>
                  <wp:extent cx="4620126" cy="3696101"/>
                  <wp:effectExtent b="0" l="0" r="0" t="0"/>
                  <wp:docPr descr="Posterior predictive checks for Modified Rankin Score at 90 Days" title="" id="178" name="Picture"/>
                  <a:graphic>
                    <a:graphicData uri="http://schemas.openxmlformats.org/drawingml/2006/picture">
                      <pic:pic>
                        <pic:nvPicPr>
                          <pic:cNvPr descr="manuscript_supplement_files/figure-docx/tbl-mrs90-posterior-checks-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Modified Rankin Score at 90 Days</w:t>
            </w:r>
          </w:p>
          <w:bookmarkEnd w:id="180"/>
        </w:tc>
      </w:tr>
    </w:tbl>
    <w:bookmarkEnd w:id="181"/>
    <w:bookmarkStart w:id="186" w:name="euroqol-moblity-90"/>
    <w:p>
      <w:pPr>
        <w:pStyle w:val="Heading4"/>
      </w:pPr>
      <w:r>
        <w:t xml:space="preserve">EuroQOL Moblity 90</w:t>
      </w:r>
    </w:p>
    <w:tbl>
      <w:tblPr>
        <w:tblStyle w:val="Table"/>
        <w:tblW w:type="pct" w:w="5000"/>
        <w:tblLayout w:type="fixed"/>
        <w:tblLook w:firstRow="0" w:lastRow="0" w:firstColumn="0" w:lastColumn="0" w:noHBand="0" w:noVBand="0" w:val="0000"/>
      </w:tblPr>
      <w:tblGrid>
        <w:gridCol w:w="7920"/>
      </w:tblGrid>
      <w:tr>
        <w:tc>
          <w:tcPr/>
          <w:bookmarkStart w:id="185" w:name="tbl-euro-mobility-checks"/>
          <w:p>
            <w:pPr>
              <w:jc w:val="center"/>
            </w:pPr>
            <w:pPr>
              <w:jc w:val="left"/>
              <w:spacing w:before="200"/>
              <w:pStyle w:val="ImageCaption"/>
            </w:pPr>
            <w:r>
              <w:t xml:space="preserve">Table 32</w:t>
            </w:r>
          </w:p>
          <w:p>
            <w:pPr>
              <w:pStyle w:val="CaptionedFigure"/>
              <w:jc w:val="center"/>
            </w:pPr>
            <w:r>
              <w:drawing>
                <wp:inline>
                  <wp:extent cx="4620126" cy="3696101"/>
                  <wp:effectExtent b="0" l="0" r="0" t="0"/>
                  <wp:docPr descr="Posterior predictive checks for EuroQOL — Mobility at 90 Days" title="" id="183" name="Picture"/>
                  <a:graphic>
                    <a:graphicData uri="http://schemas.openxmlformats.org/drawingml/2006/picture">
                      <pic:pic>
                        <pic:nvPicPr>
                          <pic:cNvPr descr="manuscript_supplement_files/figure-docx/tbl-euro-mobility-checks-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Mobility at 90 Days</w:t>
            </w:r>
          </w:p>
          <w:bookmarkEnd w:id="185"/>
        </w:tc>
      </w:tr>
    </w:tbl>
    <w:bookmarkEnd w:id="186"/>
    <w:bookmarkStart w:id="191" w:name="euroqol-self-care-90-1"/>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90" w:name="tbl-euro-selfcare-checks"/>
          <w:p>
            <w:pPr>
              <w:jc w:val="center"/>
            </w:pPr>
            <w:pPr>
              <w:jc w:val="left"/>
              <w:spacing w:before="200"/>
              <w:pStyle w:val="ImageCaption"/>
            </w:pPr>
            <w:r>
              <w:t xml:space="preserve">Table 33</w:t>
            </w:r>
          </w:p>
          <w:p>
            <w:pPr>
              <w:pStyle w:val="CaptionedFigure"/>
              <w:jc w:val="center"/>
            </w:pPr>
            <w:r>
              <w:drawing>
                <wp:inline>
                  <wp:extent cx="4620126" cy="3696101"/>
                  <wp:effectExtent b="0" l="0" r="0" t="0"/>
                  <wp:docPr descr="Posterior predictive checks for EuroQOL — Self-Care at 90 Days" title="" id="188" name="Picture"/>
                  <a:graphic>
                    <a:graphicData uri="http://schemas.openxmlformats.org/drawingml/2006/picture">
                      <pic:pic>
                        <pic:nvPicPr>
                          <pic:cNvPr descr="manuscript_supplement_files/figure-docx/tbl-euro-selfcare-checks-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Self-Care at 90 Days</w:t>
            </w:r>
          </w:p>
          <w:bookmarkEnd w:id="190"/>
        </w:tc>
      </w:tr>
    </w:tbl>
    <w:bookmarkEnd w:id="191"/>
    <w:bookmarkStart w:id="196" w:name="euroqol-usual-activities-90-1"/>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95" w:name="tbl-euro-usual-checks"/>
          <w:p>
            <w:pPr>
              <w:jc w:val="center"/>
            </w:pPr>
            <w:pPr>
              <w:jc w:val="left"/>
              <w:spacing w:before="200"/>
              <w:pStyle w:val="ImageCaption"/>
            </w:pPr>
            <w:r>
              <w:t xml:space="preserve">Table 34</w:t>
            </w:r>
          </w:p>
          <w:p>
            <w:pPr>
              <w:pStyle w:val="CaptionedFigure"/>
              <w:jc w:val="center"/>
            </w:pPr>
            <w:r>
              <w:drawing>
                <wp:inline>
                  <wp:extent cx="4620126" cy="3696101"/>
                  <wp:effectExtent b="0" l="0" r="0" t="0"/>
                  <wp:docPr descr="Posterior predictive checks for EuroQOL — Usual Activities at 90 Days" title="" id="193" name="Picture"/>
                  <a:graphic>
                    <a:graphicData uri="http://schemas.openxmlformats.org/drawingml/2006/picture">
                      <pic:pic>
                        <pic:nvPicPr>
                          <pic:cNvPr descr="manuscript_supplement_files/figure-docx/tbl-euro-usual-checks-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Usual Activities at 90 Days</w:t>
            </w:r>
          </w:p>
          <w:bookmarkEnd w:id="195"/>
        </w:tc>
      </w:tr>
    </w:tbl>
    <w:bookmarkEnd w:id="196"/>
    <w:bookmarkStart w:id="201" w:name="euroqol-paindiscomfort-90-1"/>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200" w:name="tbl-euro-pain-checks"/>
          <w:p>
            <w:pPr>
              <w:jc w:val="center"/>
            </w:pPr>
            <w:pPr>
              <w:jc w:val="left"/>
              <w:spacing w:before="200"/>
              <w:pStyle w:val="ImageCaption"/>
            </w:pPr>
            <w:r>
              <w:t xml:space="preserve">Table 35</w:t>
            </w:r>
          </w:p>
          <w:p>
            <w:pPr>
              <w:pStyle w:val="CaptionedFigure"/>
              <w:jc w:val="center"/>
            </w:pPr>
            <w:r>
              <w:drawing>
                <wp:inline>
                  <wp:extent cx="4620126" cy="3696101"/>
                  <wp:effectExtent b="0" l="0" r="0" t="0"/>
                  <wp:docPr descr="Posterior predictive checks for EuroQOL — Pain/Discomfort at 90 Days" title="" id="198" name="Picture"/>
                  <a:graphic>
                    <a:graphicData uri="http://schemas.openxmlformats.org/drawingml/2006/picture">
                      <pic:pic>
                        <pic:nvPicPr>
                          <pic:cNvPr descr="manuscript_supplement_files/figure-docx/tbl-euro-pain-checks-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Pain/Discomfort at 90 Days</w:t>
            </w:r>
          </w:p>
          <w:bookmarkEnd w:id="200"/>
        </w:tc>
      </w:tr>
    </w:tbl>
    <w:bookmarkEnd w:id="201"/>
    <w:bookmarkStart w:id="206" w:name="euroqol-anxietydespression-90"/>
    <w:p>
      <w:pPr>
        <w:pStyle w:val="Heading4"/>
      </w:pPr>
      <w:r>
        <w:t xml:space="preserve">EuroQOL Anxiety/Despression 90</w:t>
      </w:r>
    </w:p>
    <w:tbl>
      <w:tblPr>
        <w:tblStyle w:val="Table"/>
        <w:tblW w:type="pct" w:w="5000"/>
        <w:tblLayout w:type="fixed"/>
        <w:tblLook w:firstRow="0" w:lastRow="0" w:firstColumn="0" w:lastColumn="0" w:noHBand="0" w:noVBand="0" w:val="0000"/>
      </w:tblPr>
      <w:tblGrid>
        <w:gridCol w:w="7920"/>
      </w:tblGrid>
      <w:tr>
        <w:tc>
          <w:tcPr/>
          <w:bookmarkStart w:id="205" w:name="tbl-euro-anxiety-checks"/>
          <w:p>
            <w:pPr>
              <w:jc w:val="center"/>
            </w:pPr>
            <w:pPr>
              <w:jc w:val="left"/>
              <w:spacing w:before="200"/>
              <w:pStyle w:val="ImageCaption"/>
            </w:pPr>
            <w:r>
              <w:t xml:space="preserve">Table 36</w:t>
            </w:r>
          </w:p>
          <w:p>
            <w:pPr>
              <w:pStyle w:val="CaptionedFigure"/>
              <w:jc w:val="center"/>
            </w:pPr>
            <w:r>
              <w:drawing>
                <wp:inline>
                  <wp:extent cx="4620126" cy="3696101"/>
                  <wp:effectExtent b="0" l="0" r="0" t="0"/>
                  <wp:docPr descr="Posterior predictive checks for EuroQOL — Anxiety/Depression at 90 Days" title="" id="203" name="Picture"/>
                  <a:graphic>
                    <a:graphicData uri="http://schemas.openxmlformats.org/drawingml/2006/picture">
                      <pic:pic>
                        <pic:nvPicPr>
                          <pic:cNvPr descr="manuscript_supplement_files/figure-docx/tbl-euro-anxiety-checks-1.png" id="204" name="Picture"/>
                          <pic:cNvPicPr>
                            <a:picLocks noChangeArrowheads="1" noChangeAspect="1"/>
                          </pic:cNvPicPr>
                        </pic:nvPicPr>
                        <pic:blipFill>
                          <a:blip r:embed="rId2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Anxiety/Depression at 90 Days</w:t>
            </w:r>
          </w:p>
          <w:bookmarkEnd w:id="205"/>
        </w:tc>
      </w:tr>
    </w:tbl>
    <w:bookmarkEnd w:id="206"/>
    <w:bookmarkStart w:id="211" w:name="euroqol-vas-90-1"/>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210" w:name="tbl-euro-vas-checks"/>
          <w:p>
            <w:pPr>
              <w:jc w:val="center"/>
            </w:pPr>
            <w:pPr>
              <w:jc w:val="left"/>
              <w:spacing w:before="200"/>
              <w:pStyle w:val="ImageCaption"/>
            </w:pPr>
            <w:r>
              <w:t xml:space="preserve">Table 37</w:t>
            </w:r>
          </w:p>
          <w:p>
            <w:pPr>
              <w:pStyle w:val="CaptionedFigure"/>
              <w:jc w:val="center"/>
            </w:pPr>
            <w:r>
              <w:drawing>
                <wp:inline>
                  <wp:extent cx="4620126" cy="3696101"/>
                  <wp:effectExtent b="0" l="0" r="0" t="0"/>
                  <wp:docPr descr="Posterior predictive checks for EuroQOL — VAS at 90 Days" title="" id="208" name="Picture"/>
                  <a:graphic>
                    <a:graphicData uri="http://schemas.openxmlformats.org/drawingml/2006/picture">
                      <pic:pic>
                        <pic:nvPicPr>
                          <pic:cNvPr descr="manuscript_supplement_files/figure-docx/tbl-euro-vas-checks-1.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VAS at 90 Days</w:t>
            </w:r>
          </w:p>
          <w:bookmarkEnd w:id="210"/>
        </w:tc>
      </w:tr>
    </w:tbl>
    <w:bookmarkEnd w:id="211"/>
    <w:bookmarkEnd w:id="212"/>
    <w:bookmarkEnd w:id="213"/>
    <w:bookmarkStart w:id="243"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215"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214" w:name="tbl-subgroup-interactions"/>
          <w:p>
            <w:pPr>
              <w:jc w:val="center"/>
            </w:pPr>
            <w:pPr>
              <w:jc w:val="left"/>
              <w:spacing w:before="200"/>
              <w:pStyle w:val="ImageCaption"/>
            </w:pPr>
            <w:r>
              <w:t xml:space="preserve">Table 38: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214"/>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215"/>
    <w:bookmarkStart w:id="222" w:name="table-2-with-different-priors"/>
    <w:p>
      <w:pPr>
        <w:pStyle w:val="Heading3"/>
      </w:pPr>
      <w:r>
        <w:t xml:space="preserve">Table 2 with Different Priors</w:t>
      </w:r>
    </w:p>
    <w:bookmarkStart w:id="217"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16" w:name="tbl-2-left-prior"/>
          <w:p>
            <w:pPr>
              <w:jc w:val="center"/>
            </w:pPr>
            <w:pPr>
              <w:jc w:val="left"/>
              <w:spacing w:before="200"/>
              <w:pStyle w:val="ImageCaption"/>
            </w:pPr>
            <w:r>
              <w:t xml:space="preserve">Table 39</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16"/>
        </w:tc>
      </w:tr>
    </w:tbl>
    <w:bookmarkEnd w:id="217"/>
    <w:bookmarkStart w:id="219"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18" w:name="tbl-2-right-prior"/>
          <w:p>
            <w:pPr>
              <w:jc w:val="center"/>
            </w:pPr>
            <w:pPr>
              <w:jc w:val="left"/>
              <w:spacing w:before="200"/>
              <w:pStyle w:val="ImageCaption"/>
            </w:pPr>
            <w:r>
              <w:t xml:space="preserve">Table 40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18"/>
        </w:tc>
      </w:tr>
    </w:tbl>
    <w:bookmarkEnd w:id="219"/>
    <w:bookmarkStart w:id="221"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20" w:name="tbl-2-flat-prior"/>
          <w:p>
            <w:pPr>
              <w:jc w:val="center"/>
            </w:pPr>
            <w:pPr>
              <w:jc w:val="left"/>
              <w:spacing w:before="200"/>
              <w:pStyle w:val="ImageCaption"/>
            </w:pPr>
            <w:r>
              <w:t xml:space="preserve">Table 41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0"/>
        </w:tc>
      </w:tr>
    </w:tbl>
    <w:bookmarkEnd w:id="221"/>
    <w:bookmarkEnd w:id="222"/>
    <w:bookmarkStart w:id="229" w:name="table-3-with-different-priors"/>
    <w:p>
      <w:pPr>
        <w:pStyle w:val="Heading3"/>
      </w:pPr>
      <w:r>
        <w:t xml:space="preserve">Table 3 with Different Priors</w:t>
      </w:r>
    </w:p>
    <w:bookmarkStart w:id="224"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3" w:name="tbl-4-left-prior"/>
          <w:p>
            <w:pPr>
              <w:jc w:val="center"/>
            </w:pPr>
            <w:pPr>
              <w:jc w:val="left"/>
              <w:spacing w:before="200"/>
              <w:pStyle w:val="ImageCaption"/>
            </w:pPr>
            <w:r>
              <w:t xml:space="preserve">Table 42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3"/>
        </w:tc>
      </w:tr>
    </w:tbl>
    <w:bookmarkEnd w:id="224"/>
    <w:bookmarkStart w:id="226"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25" w:name="tbl-4-right-prior"/>
          <w:p>
            <w:pPr>
              <w:jc w:val="center"/>
            </w:pPr>
            <w:pPr>
              <w:jc w:val="left"/>
              <w:spacing w:before="200"/>
              <w:pStyle w:val="ImageCaption"/>
            </w:pPr>
            <w:r>
              <w:t xml:space="preserve">Table 43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5"/>
        </w:tc>
      </w:tr>
    </w:tbl>
    <w:bookmarkEnd w:id="226"/>
    <w:bookmarkStart w:id="228"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27" w:name="tbl-4-flat-prior"/>
          <w:p>
            <w:pPr>
              <w:jc w:val="center"/>
            </w:pPr>
            <w:pPr>
              <w:jc w:val="left"/>
              <w:spacing w:before="200"/>
              <w:pStyle w:val="ImageCaption"/>
            </w:pPr>
            <w:r>
              <w:t xml:space="preserve">Table 44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7"/>
        </w:tc>
      </w:tr>
    </w:tbl>
    <w:bookmarkEnd w:id="228"/>
    <w:bookmarkEnd w:id="229"/>
    <w:bookmarkStart w:id="231"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30" w:name="tbl-complete-case-sensitivity"/>
          <w:p>
            <w:pPr>
              <w:jc w:val="center"/>
            </w:pPr>
            <w:pPr>
              <w:jc w:val="left"/>
              <w:spacing w:before="200"/>
              <w:pStyle w:val="ImageCaption"/>
            </w:pPr>
            <w:r>
              <w:t xml:space="preserve">Table 45: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30"/>
        </w:tc>
      </w:tr>
    </w:tbl>
    <w:bookmarkEnd w:id="231"/>
    <w:bookmarkStart w:id="242"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1"/>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1"/>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32" w:name="tbl-atach-site-sensitivity"/>
          <w:p>
            <w:pPr>
              <w:jc w:val="center"/>
            </w:pPr>
            <w:pPr>
              <w:jc w:val="left"/>
              <w:spacing w:before="200"/>
              <w:pStyle w:val="ImageCaption"/>
            </w:pPr>
            <w:r>
              <w:t xml:space="preserve">Table 46: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32"/>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bookmarkStart w:id="241" w:name="refs"/>
    <w:bookmarkStart w:id="234"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33">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234"/>
    <w:bookmarkStart w:id="236"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35">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American Journal of Respiratory and Critical Care Medicine</w:t>
      </w:r>
      <w:r>
        <w:t xml:space="preserve">. 2021;203:543–552.</w:t>
      </w:r>
      <w:r>
        <w:t xml:space="preserve"> </w:t>
      </w:r>
    </w:p>
    <w:bookmarkEnd w:id="236"/>
    <w:bookmarkStart w:id="238" w:name="Xfbc06ab4e8a143dd15dec8dfd06cc82cc01ab3c"/>
    <w:p>
      <w:pPr>
        <w:pStyle w:val="Bibliography"/>
      </w:pPr>
      <w:r>
        <w:t xml:space="preserve">3.</w:t>
      </w:r>
      <w:r>
        <w:t xml:space="preserve"> </w:t>
      </w:r>
      <w:r>
        <w:t xml:space="preserve">	</w:t>
      </w:r>
      <w:r>
        <w:t xml:space="preserve">Kruschke JK.</w:t>
      </w:r>
      <w:r>
        <w:t xml:space="preserve"> </w:t>
      </w:r>
      <w:hyperlink r:id="rId237">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238"/>
    <w:bookmarkStart w:id="240"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39">
        <w:r>
          <w:rPr>
            <w:rStyle w:val="Hyperlink"/>
          </w:rPr>
          <w:t xml:space="preserve">https://arxiv.org/abs/2011.01808</w:t>
        </w:r>
      </w:hyperlink>
    </w:p>
    <w:bookmarkEnd w:id="240"/>
    <w:bookmarkEnd w:id="241"/>
    <w:bookmarkEnd w:id="242"/>
    <w:bookmarkEnd w:id="243"/>
    <w:bookmarkEnd w:id="244"/>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162" Target="media/rId162.png" /><Relationship Type="http://schemas.openxmlformats.org/officeDocument/2006/relationships/image" Id="rId91" Target="media/rId91.png" /><Relationship Type="http://schemas.openxmlformats.org/officeDocument/2006/relationships/image" Id="rId172" Target="media/rId172.png" /><Relationship Type="http://schemas.openxmlformats.org/officeDocument/2006/relationships/image" Id="rId101" Target="media/rId101.png" /><Relationship Type="http://schemas.openxmlformats.org/officeDocument/2006/relationships/image" Id="rId167" Target="media/rId167.png" /><Relationship Type="http://schemas.openxmlformats.org/officeDocument/2006/relationships/image" Id="rId96" Target="media/rId96.png" /><Relationship Type="http://schemas.openxmlformats.org/officeDocument/2006/relationships/image" Id="rId202" Target="media/rId202.png" /><Relationship Type="http://schemas.openxmlformats.org/officeDocument/2006/relationships/image" Id="rId131" Target="media/rId131.png" /><Relationship Type="http://schemas.openxmlformats.org/officeDocument/2006/relationships/image" Id="rId182" Target="media/rId182.png" /><Relationship Type="http://schemas.openxmlformats.org/officeDocument/2006/relationships/image" Id="rId111" Target="media/rId111.png" /><Relationship Type="http://schemas.openxmlformats.org/officeDocument/2006/relationships/image" Id="rId197" Target="media/rId197.png" /><Relationship Type="http://schemas.openxmlformats.org/officeDocument/2006/relationships/image" Id="rId126" Target="media/rId126.png" /><Relationship Type="http://schemas.openxmlformats.org/officeDocument/2006/relationships/image" Id="rId187" Target="media/rId187.png" /><Relationship Type="http://schemas.openxmlformats.org/officeDocument/2006/relationships/image" Id="rId116" Target="media/rId116.png" /><Relationship Type="http://schemas.openxmlformats.org/officeDocument/2006/relationships/image" Id="rId192" Target="media/rId192.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136" Target="media/rId136.png" /><Relationship Type="http://schemas.openxmlformats.org/officeDocument/2006/relationships/image" Id="rId147" Target="media/rId147.png" /><Relationship Type="http://schemas.openxmlformats.org/officeDocument/2006/relationships/image" Id="rId76" Target="media/rId76.png" /><Relationship Type="http://schemas.openxmlformats.org/officeDocument/2006/relationships/image" Id="rId177" Target="media/rId177.png" /><Relationship Type="http://schemas.openxmlformats.org/officeDocument/2006/relationships/image" Id="rId106" Target="media/rId106.png" /><Relationship Type="http://schemas.openxmlformats.org/officeDocument/2006/relationships/image" Id="rId142" Target="media/rId142.png" /><Relationship Type="http://schemas.openxmlformats.org/officeDocument/2006/relationships/image" Id="rId71" Target="media/rId71.png" /><Relationship Type="http://schemas.openxmlformats.org/officeDocument/2006/relationships/image" Id="rId152" Target="media/rId152.png" /><Relationship Type="http://schemas.openxmlformats.org/officeDocument/2006/relationships/image" Id="rId81" Target="media/rId81.png" /><Relationship Type="http://schemas.openxmlformats.org/officeDocument/2006/relationships/image" Id="rId157" Target="media/rId157.png" /><Relationship Type="http://schemas.openxmlformats.org/officeDocument/2006/relationships/image" Id="rId86" Target="media/rId86.png" /><Relationship Type="http://schemas.openxmlformats.org/officeDocument/2006/relationships/hyperlink" Id="rId239" Target="https://arxiv.org/abs/2011.01808" TargetMode="External" /><Relationship Type="http://schemas.openxmlformats.org/officeDocument/2006/relationships/hyperlink" Id="rId237" Target="https://doi.org/10.1038/s41562-021-01177-7" TargetMode="External" /><Relationship Type="http://schemas.openxmlformats.org/officeDocument/2006/relationships/hyperlink" Id="rId233" Target="https://doi.org/10.1093/ije/dyaa213" TargetMode="External" /><Relationship Type="http://schemas.openxmlformats.org/officeDocument/2006/relationships/hyperlink" Id="rId235"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39" Target="https://arxiv.org/abs/2011.01808" TargetMode="External" /><Relationship Type="http://schemas.openxmlformats.org/officeDocument/2006/relationships/hyperlink" Id="rId237" Target="https://doi.org/10.1038/s41562-021-01177-7" TargetMode="External" /><Relationship Type="http://schemas.openxmlformats.org/officeDocument/2006/relationships/hyperlink" Id="rId233" Target="https://doi.org/10.1093/ije/dyaa213" TargetMode="External" /><Relationship Type="http://schemas.openxmlformats.org/officeDocument/2006/relationships/hyperlink" Id="rId235"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2026-05-05T15:13:33Z</dcterms:created>
  <dcterms:modified xsi:type="dcterms:W3CDTF">2026-05-05T15:13:33Z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Table of contents</vt:lpwstr>
  </property>
</Properties>
</file>