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df" ContentType="application/pdf"/>
  <Override PartName="/word/media/rId8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Neurosurgical Intervention in Intracerebral Hemorrhage: A Post-Hoc Bayesian Analysis of ATACH-2 and ERICH</w:t>
      </w:r>
    </w:p>
    <w:bookmarkStart w:id="9" w:name="abstract"/>
    <w:p>
      <w:pPr>
        <w:pStyle w:val="Heading2"/>
      </w:pPr>
      <w:r>
        <w:t xml:space="preserve">Abstract</w:t>
      </w:r>
    </w:p>
    <w:p>
      <w:pPr>
        <w:pStyle w:val="FirstParagraph"/>
      </w:pPr>
      <w:r>
        <w:rPr>
          <w:b/>
          <w:bCs/>
        </w:rPr>
        <w:t xml:space="preserve">Background</w:t>
      </w:r>
      <w:r>
        <w:t xml:space="preserve">: Hemispheric laterality influences clinical management in stroke. Given the increasing enthusiasm for surgical management of intracerebral hemorrhage (ICH), we evaluated the association of hemispheric lateralization with the likelihood of receiving neurosurgical intervention and subsequent 90-day functional outcomes.</w:t>
      </w:r>
    </w:p>
    <w:p>
      <w:pPr>
        <w:pStyle w:val="BodyText"/>
      </w:pPr>
      <w:r>
        <w:rPr>
          <w:b/>
          <w:bCs/>
        </w:rPr>
        <w:t xml:space="preserve">Methods</w:t>
      </w:r>
      <w:r>
        <w:t xml:space="preserve">: This post-hoc analysis included 3477 patients with supratentorial ICH from the ATACH-2 and ERICH studies. The primary outcome was neurosurgical intervention (hematoma evacuation, decompressive craniectomy, or other craniotomy). Secondary outcomes included external ventricular drain (EVD) placement, 90-day modified Rankin Scale (mRS), and EuroQOL domains. Hierarchical Bayesian regression models were adjusted for age, admission Glasgow Coma Scale, ICH location, ICH volume, and intraventricular hemorrhage.</w:t>
      </w:r>
    </w:p>
    <w:p>
      <w:pPr>
        <w:pStyle w:val="BodyText"/>
      </w:pPr>
      <w:r>
        <w:rPr>
          <w:b/>
          <w:bCs/>
        </w:rPr>
        <w:t xml:space="preserve">Results</w:t>
      </w:r>
      <w:r>
        <w:t xml:space="preserve">: Of 3477 patients, right hemispheric ICH was associated with a higher likelihood of receiving neurosurgical intervention (aOR 1.65, 95% CrI 1.28–2.14) and EVD placement (aOR 1.22, 95% CrI 1.04–1.44) compared to left hemispheric ICH. This association was directionally consistent across ICH locations, study cohorts, and prior specifications. Despite the lower rates of aggressive surgical management, patients with left hemispheric ICH demonstrated similar 90-day functional outcomes, exhibiting equivalent mRS scores and potentially better outcomes in specific health-related quality of life domains.</w:t>
      </w:r>
    </w:p>
    <w:p>
      <w:pPr>
        <w:pStyle w:val="BodyText"/>
      </w:pPr>
      <w:r>
        <w:rPr>
          <w:b/>
          <w:bCs/>
        </w:rPr>
        <w:t xml:space="preserve">Conclusions</w:t>
      </w:r>
      <w:r>
        <w:t xml:space="preserve">: Right hemispheric ICH is associated with a higher likelihood of neurosurgical intervention compared to left hemispheric ICH, though 90-day functional outcomes remain similar between groups. While these findings highlight a potential laterality-driven disparity in treatment paradigms, residual confounding from unmeasured anatomical severity and family preferences cannot be excluded. Prospective studies are needed to delineate the explicit clinical and prognostic drivers of surgical decision-making to optimize treatment allocation in ICH.</w:t>
      </w:r>
    </w:p>
    <w:p>
      <w:pPr>
        <w:pStyle w:val="BodyText"/>
      </w:pPr>
      <w:r>
        <w:rPr>
          <w:b/>
          <w:bCs/>
        </w:rPr>
        <w:t xml:space="preserve">Trial Registration</w:t>
      </w:r>
      <w:r>
        <w:t xml:space="preserve">: Clinicaltrials.gov Identifier: ATACH-2, NCT01176565; ERICH, NCT01202864</w:t>
      </w:r>
    </w:p>
    <w:p>
      <w:r>
        <w:br w:type="page"/>
      </w:r>
    </w:p>
    <w:bookmarkEnd w:id="9"/>
    <w:bookmarkStart w:id="10" w:name="introduction"/>
    <w:p>
      <w:pPr>
        <w:pStyle w:val="Heading2"/>
      </w:pPr>
      <w:r>
        <w:t xml:space="preserve">Introduction</w:t>
      </w:r>
    </w:p>
    <w:p>
      <w:pPr>
        <w:pStyle w:val="FirstParagraph"/>
      </w:pPr>
      <w:r>
        <w:t xml:space="preserve">Intracerebral hemorrhage (ICH) remains a challenging disease, marked by its sudden onset, morbidity, and mortality.</w:t>
      </w:r>
      <w:r>
        <w:rPr>
          <w:vertAlign w:val="superscript"/>
        </w:rPr>
        <w:t xml:space="preserve">1,2</w:t>
      </w:r>
      <w:r>
        <w:t xml:space="preserve"> </w:t>
      </w:r>
      <w:r>
        <w:t xml:space="preserve">While management of ischemic stroke has advanced considerably over the last decade, the acute management of ICH remains limited to blood pressure control, coagulopathy reversal, and perhaps surgical evacuation of hemorrhage.</w:t>
      </w:r>
      <w:r>
        <w:rPr>
          <w:vertAlign w:val="superscript"/>
        </w:rPr>
        <w:t xml:space="preserve">3,4</w:t>
      </w:r>
      <w:r>
        <w:t xml:space="preserve"> </w:t>
      </w:r>
      <w:r>
        <w:t xml:space="preserve">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 evidence that those with right hemispheric injury present later to the hospital and may not be treated as frequently with thrombolytic therapy.</w:t>
      </w:r>
      <w:r>
        <w:rPr>
          <w:vertAlign w:val="superscript"/>
        </w:rPr>
        <w:t xml:space="preserve">5–8</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 xml:space="preserve">9–12</w:t>
      </w:r>
    </w:p>
    <w:p>
      <w:pPr>
        <w:pStyle w:val="BodyText"/>
      </w:pPr>
      <w:r>
        <w:t xml:space="preserve">Amidst an increasing enthusiasm for surgical management of ICH</w:t>
      </w:r>
      <w:r>
        <w:rPr>
          <w:vertAlign w:val="superscript"/>
        </w:rPr>
        <w:t xml:space="preserve">3,4,13</w:t>
      </w:r>
      <w:r>
        <w:t xml:space="preserve">, it is important to understand whether hemispheric lateralization is associated with differences in surgical decision making, as has been observed for ischemic stroke. We aimed to evaluate the association of hemispheric lateralization of ICH with the likelihood of receiving neurosurgical intervention as well as with functional outcomes.</w:t>
      </w:r>
    </w:p>
    <w:bookmarkEnd w:id="10"/>
    <w:bookmarkStart w:id="20" w:name="methods"/>
    <w:p>
      <w:pPr>
        <w:pStyle w:val="Heading2"/>
      </w:pPr>
      <w:r>
        <w:t xml:space="preserve">Methods</w:t>
      </w:r>
    </w:p>
    <w:bookmarkStart w:id="11"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vertAlign w:val="superscript"/>
        </w:rPr>
        <w:t xml:space="preserve">14,15</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11"/>
    <w:bookmarkStart w:id="12"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pPr>
      <w:r>
        <w:t xml:space="preserve">Our primary functional outcome was modified Rankin score (mRS) at 90 days analyzed via ordinal regression. We also examined quality of life as assessed by the European Quality of Life-5 dimensions (EQ-5D) questionnaire.</w:t>
      </w:r>
    </w:p>
    <w:bookmarkEnd w:id="12"/>
    <w:bookmarkStart w:id="17" w:name="statistical-analysis"/>
    <w:p>
      <w:pPr>
        <w:pStyle w:val="Heading3"/>
      </w:pPr>
      <w:r>
        <w:t xml:space="preserve">Statistical Analysis</w:t>
      </w:r>
    </w:p>
    <w:p>
      <w:pPr>
        <w:pStyle w:val="FirstParagraph"/>
      </w:pPr>
      <w:r>
        <w:t xml:space="preserve">Associations between hemispheric laterality and clinical outcomes were evaluated using hierarchical Bayesian regression models, adjusting for the covariates listed below with a random intercept applied to the enrolling study cohort.</w:t>
      </w:r>
    </w:p>
    <w:p>
      <w:pPr>
        <w:pStyle w:val="BodyText"/>
      </w:pPr>
      <w:r>
        <w:t xml:space="preserve">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vertAlign w:val="superscript"/>
        </w:rPr>
        <w:t xml:space="preserve">16,17</w:t>
      </w:r>
      <w:r>
        <w:t xml:space="preserve"> </w:t>
      </w:r>
      <w:r>
        <w:t xml:space="preserve">This report adheres to the Bayesian Analysis Reporting Guidelines.</w:t>
      </w:r>
      <w:r>
        <w:rPr>
          <w:vertAlign w:val="superscript"/>
        </w:rPr>
        <w:t xml:space="preserve">18</w:t>
      </w:r>
    </w:p>
    <w:p>
      <w:pPr>
        <w:pStyle w:val="BodyText"/>
      </w:pPr>
      <w:r>
        <w:t xml:space="preserve">Binary, ordinal, and count-based outcomes were modeled using hierarchical Bayesian logistic, ordinal logistic, and zero-inflated negative binomial regressions, respectively. The European Quality of Life Visual Analog Scale (EQ-VAS) was scaled to a proportion and analyzed via hierarchical Bayesian zero-one inflated beta (ZOIB) regression. Because our adjusted models included an interaction term between hemispheric laterality and ICH location, the raw main-effect coefficients for laterality are conditional on the reference location. To calculate the overall average effect of laterality across the entire cohort, we applied marginal standardization (G-computation) to all models. This allowed us to estimate average marginal effects while averaging over the empirical distribution of all covariates and the random intercept.</w:t>
      </w:r>
    </w:p>
    <w:p>
      <w:pPr>
        <w:pStyle w:val="BodyText"/>
      </w:pPr>
      <w:r>
        <w:t xml:space="preserve">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hospital site and compared the posterior estimates for the association with laterality.</w:t>
      </w:r>
    </w:p>
    <w:p>
      <w:pPr>
        <w:pStyle w:val="BodyText"/>
      </w:pPr>
      <w:r>
        <w:t xml:space="preserve">All analyses were performed in R version 4.4.2 (R Foundation for Statistical Computing, Vienna, Austria). All packages used for the analysis are listed in the Supplementary Appendix.</w:t>
      </w:r>
    </w:p>
    <w:bookmarkStart w:id="13" w:name="covariate-selection"/>
    <w:p>
      <w:pPr>
        <w:pStyle w:val="Heading4"/>
      </w:pPr>
      <w:r>
        <w:t xml:space="preserve">Covariate Selection</w:t>
      </w:r>
    </w:p>
    <w:p>
      <w:pPr>
        <w:pStyle w:val="FirstParagraph"/>
      </w:pPr>
      <w:r>
        <w:t xml:space="preserve">We constructed directed acyclic graphs (DAGs) to model our causal assumptions and to guide covariate selection for each estimand.</w:t>
      </w:r>
      <w:r>
        <w:rPr>
          <w:vertAlign w:val="superscript"/>
        </w:rPr>
        <w:t xml:space="preserve">19–21</w:t>
      </w:r>
      <w:r>
        <w:t xml:space="preserve"> </w:t>
      </w:r>
      <w:r>
        <w:t xml:space="preserve">For neurosurgical intervention and other acute care outcomes, the target estimand was the total effect of hemispheric laterality on treatment decisions. Models were adjusted for baseline confounders that independently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pPr>
      <w:r>
        <w:t xml:space="preserve">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vertAlign w:val="superscript"/>
        </w:rPr>
        <w:t xml:space="preserve">20</w:t>
      </w:r>
      <w:r>
        <w:t xml:space="preserve"> </w:t>
      </w:r>
      <w:r>
        <w:t xml:space="preserve">The DAGs and further details of the covariate selection rationale are presented in the Supplementary Appendix.</w:t>
      </w:r>
    </w:p>
    <w:bookmarkEnd w:id="13"/>
    <w:bookmarkStart w:id="14" w:name="prior-distribution-specification"/>
    <w:p>
      <w:pPr>
        <w:pStyle w:val="Heading4"/>
      </w:pPr>
      <w:r>
        <w:t xml:space="preserve">Prior Distribution Specification</w:t>
      </w:r>
    </w:p>
    <w:p>
      <w:pPr>
        <w:pStyle w:val="FirstParagraph"/>
      </w:pPr>
      <w:r>
        <w:t xml:space="preserve">To assess the robustness of our findings, we applied four sets of prior distributions for the primary exposure across all models. Because the models utilize different link functions depending on the outcome distribution (e.g., logit for binary/ordinal outcomes, log for count outcomes), these priors correspond to log-odds ratios (OR), log-incidence rate ratios (IRR), or log-mean differences.</w:t>
      </w:r>
    </w:p>
    <w:p>
      <w:pPr>
        <w:pStyle w:val="BodyText"/>
      </w:pPr>
      <w:r>
        <w:t xml:space="preserve">The four prior sets were: (1) a neutral, weakly informative prior centered on a null effect (Normal(0, 0.5)); (2) an informative left-hemisphere prior favoring outcomes in left-hemispheric patients (Normal(-0.22, 0.175)); (3) an informative right-hemisphere prior favoring outcomes in right-hemispheric patients (Normal(0.18, 0.175)); and (4) a vague, diffuse prior (Normal(0, 5)) that provides minimal information to the posterior, approximating the assumptions of a frequentist analysis. Further rationale and empirical evaluations of these priors are detailed in the Supplementary Appendix.</w:t>
      </w:r>
    </w:p>
    <w:bookmarkEnd w:id="14"/>
    <w:bookmarkStart w:id="15" w:name="Xa47fa65c2b7f49382486b74e1c4ed3022604078"/>
    <w:p>
      <w:pPr>
        <w:pStyle w:val="Heading4"/>
      </w:pPr>
      <w:r>
        <w:t xml:space="preserve">Computation and Description of the Posterior Distribution</w:t>
      </w:r>
    </w:p>
    <w:p>
      <w:pPr>
        <w:pStyle w:val="FirstParagraph"/>
      </w:pPr>
      <w:r>
        <w:t xml:space="preserve">For the effect of hemispheric laterality, we report the following metrics derived from the marginalized posterior distributions: 1) the median posterior effect size with 95% credible intervals (CrI); 2) the probability of any directional difference; 3) the probability of a substantial difference defined a priori; and 4) the percentage of the posterior distribution falling outside a predefined region of practical equivalence (ROPE).</w:t>
      </w:r>
    </w:p>
    <w:p>
      <w:pPr>
        <w:pStyle w:val="BodyText"/>
      </w:pPr>
      <w:r>
        <w:t xml:space="preserve">Effect sizes are reported as marginal odds ratios (OR) for binary and ordinal models, marginal incidence rate ratios (IRR) for the count component of the negative binomial models, and average marginal expected mean differences on the original 0–100 scale for the EQ-VAS (derived via G-computation). We defined a substantial difference as an odds ratio (OR) &gt; 1.2 (or a mean difference of 5 points for the Euro VAS). In the context of invasive procedures such as hemicraniectomy or hematoma evacuation, we posited that a 20% relative shift in treatment odds represents a minimum threshold that would meaningfully impact clinical and shared decision-making. The full rationale for these thresholds and the ROPE bounds for ORs and IRRs are detailed in the Supplementary Appendix.</w:t>
      </w:r>
    </w:p>
    <w:bookmarkEnd w:id="15"/>
    <w:bookmarkStart w:id="16" w:name="Xb6b655a891224ddee9981b292c43eac49eeddc4"/>
    <w:p>
      <w:pPr>
        <w:pStyle w:val="Heading4"/>
      </w:pPr>
      <w:r>
        <w:t xml:space="preserve">Missing Data Treatment and Sensitivity Analyses</w:t>
      </w:r>
    </w:p>
    <w:p>
      <w:pPr>
        <w:pStyle w:val="FirstParagraph"/>
      </w:pPr>
      <w:r>
        <w:t xml:space="preserve">Baseline covariates used in model adjustment (e.g., age, GCS, ICH volume) had minimal missingness (&lt; 1%). Missingness for 90-day functional outcomes was more substantial but was balanced across laterality groups. Detailed missingness rates, assessments supporting the Missing at Random (MAR) assumption, and imputation diagnostics are reported in the Supplementary Appendix.</w:t>
      </w:r>
    </w:p>
    <w:p>
      <w:pPr>
        <w:pStyle w:val="BodyText"/>
      </w:pPr>
      <w:r>
        <w:t xml:space="preserve">Our primary analysis for 90-day functional outcomes used multiple imputation by chained equations (MICE) to address missing data, generating 20 imputed datasets using the mice package. Imputation models included all analysis covariates and all primary and secondary outcomes. Including all functional outcomes (e.g., mRS and EuroQOL domains) in the imputation equations allowed them to serve as highly informative auxiliary variables for one another, optimizing the imputation of missing outcome data. Predictive mean matching was used for continuous and ordinal variables, logistic regression for binary variables, and polytomous regression for nominal variables. Each Bayesian model was fitted separately to each imputed dataset, and posterior draws were pooled across imputations to produce the reported estimates and CrI.</w:t>
      </w:r>
    </w:p>
    <w:p>
      <w:pPr>
        <w:pStyle w:val="BodyText"/>
      </w:pPr>
      <w:r>
        <w:t xml:space="preserve">In addition to the missing data analysis, we analyzed our models using the four sets of prior distributions described above. To evaluate potential effect modification on acute care decisions, we fitted models containing formal interaction terms between hemispheric laterality and ICH location, and laterality and study source. Because missingness in baseline covariates and acute surgical outcomes was negligible, these exploratory subgroup interaction models—as well as a prespecified sensitivity analysis for all outcomes—were fitted to complete-case data (excluding patients missing the specific outcome being modeled) for computational efficiency. Subgroup-specific aORs and interaction Ratio of Odds Ratios (ROR) with 95% CrI were computed to evaluate heterogeneity.</w:t>
      </w:r>
    </w:p>
    <w:bookmarkEnd w:id="16"/>
    <w:bookmarkEnd w:id="17"/>
    <w:bookmarkStart w:id="19"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w:t>
      </w:r>
      <w:r>
        <w:t xml:space="preserve"> </w:t>
      </w:r>
      <w:hyperlink r:id="rId18">
        <w:r>
          <w:rPr>
            <w:rStyle w:val="Hyperlink"/>
          </w:rPr>
          <w:t xml:space="preserve">https://github.com/nikhilpatelmd/ich-laterality</w:t>
        </w:r>
      </w:hyperlink>
      <w:r>
        <w:t xml:space="preserve">.</w:t>
      </w:r>
    </w:p>
    <w:bookmarkEnd w:id="19"/>
    <w:bookmarkEnd w:id="20"/>
    <w:bookmarkStart w:id="25" w:name="results"/>
    <w:p>
      <w:pPr>
        <w:pStyle w:val="Heading2"/>
      </w:pPr>
      <w:r>
        <w:t xml:space="preserve">Results</w:t>
      </w:r>
    </w:p>
    <w:bookmarkStart w:id="21"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p>
    <w:bookmarkEnd w:id="21"/>
    <w:bookmarkStart w:id="22"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86 (5.0%) patients with left hemispheric ICH underwent neurosurgical intervention, compared to 144 (8.2%) with right hemispheric ICH (aOR 1.65, 95% CrI 1.28–2.14). The posterior probability that the aOR exceeded 1 was &gt; 99.9%, and the posterior probability of a substantial difference (aOR &gt; 1.2) was 99.3%. Fewer than &lt; 0.1% of the posterior distribution fell within the ROPE.</w:t>
      </w:r>
    </w:p>
    <w:p>
      <w:pPr>
        <w:pStyle w:val="BodyText"/>
      </w:pPr>
      <w:r>
        <w:t xml:space="preserve">In exploratory subgroup analyses, the association between right hemispheric ICH and neurosurgical intervention remained directionally consistent across all evaluated ICH locations and source studies. Formal interaction analyses yielded wide credible intervals for the Ratio of Odds Ratios (ROR), providing insufficient evidence to conclude that the laterality effect differed meaningfully across these subgroups (Supplemental Table 38).</w:t>
      </w:r>
    </w:p>
    <w:p>
      <w:pPr>
        <w:pStyle w:val="BodyText"/>
      </w:pPr>
      <w:r>
        <w:t xml:space="preserve">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probability difference (Right − Left) across all four prior specifications. Under the neutral prior, the median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diffuse prior, with P(Right &gt; Left) exceeding 99.9% under all specifications. Further details are available in Supplemental Tables 39-41.</w:t>
      </w:r>
    </w:p>
    <w:p>
      <w:pPr>
        <w:pStyle w:val="BodyText"/>
      </w:pPr>
      <w:r>
        <w:t xml:space="preserve">In a sensitivity analysis restricted to the ATACH-2 cohort, a random intercept for the enrolling hospital was included to account for site-level clustering. The base model yielded an adjusted odds ratio of 2.23 (95% CrI: 1.31–3.76). With the inclusion of the site-level random effect, the adjusted odds ratio was 1.86 (95% CrI: 1.10–3.16). For this hierarchical model, the posterior probability of any directional effect (aOR &gt; 1) was 99%, the posterior probability of an aOR &gt; 1.2 was 95%, and 1% of the posterior distribution fell within the region of practical equivalence (Supplementary Table 46)</w:t>
      </w:r>
    </w:p>
    <w:bookmarkEnd w:id="22"/>
    <w:bookmarkStart w:id="23" w:name="X35a142ea301be59e62227349f8c14b571c0f47d"/>
    <w:p>
      <w:pPr>
        <w:pStyle w:val="Heading3"/>
      </w:pPr>
      <w:r>
        <w:t xml:space="preserve">Hemispheric Laterality and Secondary Outcomes</w:t>
      </w:r>
    </w:p>
    <w:p>
      <w:pPr>
        <w:pStyle w:val="FirstParagraph"/>
      </w:pPr>
      <w:r>
        <w:t xml:space="preserve">A total of 236 (13.7%) with left hemispheric ICH had an EVD placed as compared to 272 (15.5%) with right hemispheric ICH (aOR 1.22, 95% CrI 1.04–1.44). The posterior probability that the aOR exceeded</w:t>
      </w:r>
      <w:r>
        <w:t xml:space="preserve"> </w:t>
      </w:r>
      <w:r>
        <w:t xml:space="preserve">1 was 99.2%, and the posterior probability of a substantial difference (aOR &gt; 1.2) was 58.2%. 3.3% of the posterior distribution fell within the ROPE.</w:t>
      </w:r>
    </w:p>
    <w:p>
      <w:pPr>
        <w:pStyle w:val="BodyText"/>
      </w:pPr>
      <w:r>
        <w:t xml:space="preserve">Median days on mechanical ventilation were 6 (3 – 12) and 6 (3 – 9) for left and right hemispheric ICH, respectively (IRR 0.99, 95% CrI 0.89–1.09). The posterior probability that the IRR exceeded 1 was 39%, and 65.6% of the posterior distribution fell within the ROPE.</w:t>
      </w:r>
    </w:p>
    <w:p>
      <w:pPr>
        <w:pStyle w:val="BodyText"/>
      </w:pPr>
      <w:r>
        <w:t xml:space="preserve">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t>
      </w:r>
    </w:p>
    <w:bookmarkEnd w:id="23"/>
    <w:bookmarkStart w:id="24" w:name="X497d2c87b36dfef7f34a746e297a0b417356437"/>
    <w:p>
      <w:pPr>
        <w:pStyle w:val="Heading3"/>
      </w:pPr>
      <w:r>
        <w:t xml:space="preserve">Hemispheric Laterality and Functional Outcomes</w:t>
      </w:r>
    </w:p>
    <w:p>
      <w:pPr>
        <w:pStyle w:val="FirstParagraph"/>
      </w:pPr>
      <w:r>
        <w:t xml:space="preserve">Associations between hemispheric laterality and functional outcomes are shown in Table 3. The aOR for a worse mRS score at 90 days for right hemispheric ICH compared to left hemispheric ICH was 0.99 (95% CrI 0.98–1.00), with a posterior probability that the aOR exceeded 1 of 0.7% and &gt; 99.9% of the posterior distribution within the ROPE. Figure 3 displays the covariate-adjusted absolute marginal predicted cumulative distributions of mRS at 90 days for left and right hemispheric ICH under the neutral prior.</w:t>
      </w:r>
    </w:p>
    <w:p>
      <w:pPr>
        <w:pStyle w:val="BodyText"/>
      </w:pPr>
      <w:r>
        <w:t xml:space="preserve">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Euro 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w:t>
      </w:r>
    </w:p>
    <w:p>
      <w:pPr>
        <w:pStyle w:val="BodyText"/>
      </w:pPr>
      <w:r>
        <w:t xml:space="preserve">Results from sensitivity analyses using alternative priors and complete case analysis are presented in Supplementary Tables 42-45 and are consistent with these results.</w:t>
      </w:r>
    </w:p>
    <w:bookmarkEnd w:id="24"/>
    <w:bookmarkEnd w:id="25"/>
    <w:bookmarkStart w:id="26" w:name="discussion"/>
    <w:p>
      <w:pPr>
        <w:pStyle w:val="Heading2"/>
      </w:pPr>
      <w:r>
        <w:t xml:space="preserve">Discussion</w:t>
      </w:r>
    </w:p>
    <w:p>
      <w:pPr>
        <w:pStyle w:val="FirstParagraph"/>
      </w:pPr>
      <w:r>
        <w:t xml:space="preserve">In this pooled analysis of r sample_size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This association was directionally consistent across ICH locations, study cohorts, and prior specifications, though incorporating a hospital-level random intercept to account for site-level clustering modestly attenuated the effect. Despite less aggressive surgical management, patients with left hemispheric ICH demonstrated similar 90-day functional outcomes and potentially better quality of life measures. This equivalence aligns with previous literature in both ICH and ischemic stroke, where a clear association between hemispheric laterality and functional outcomes has often been difficult to establish.</w:t>
      </w:r>
    </w:p>
    <w:p>
      <w:pPr>
        <w:pStyle w:val="BodyText"/>
      </w:pPr>
      <w:r>
        <w:t xml:space="preserve">The exact mechanisms driving these associations remain unclear, and the observational nature of the data precludes causal inferences. In both the ATACH-2 and ERICH studies, neurosurgical candidacy was not governed by strict trial protocols but was left entirely to clinician discretion. Furthermore, ATACH-2 excluded patients who required immediate, life-saving hematoma evacuation upon presentation. Therefore, the observed disparity in our cohort likely reflects a complex interplay of clinical triage, unmeasured anatomical severity, and shared decision-making rather than isolated treatment bias.</w:t>
      </w:r>
    </w:p>
    <w:p>
      <w:pPr>
        <w:pStyle w:val="BodyText"/>
      </w:pPr>
      <w:r>
        <w:t xml:space="preserve">One plausible explanation for this disparity involves language-related prognostic framing. Left-hemispheric ICH is frequently associated with aphasia, a deficit that clinicians, patients, and families historically weigh heavily when anticipating long-term quality of life.</w:t>
      </w:r>
      <w:r>
        <w:rPr>
          <w:vertAlign w:val="superscript"/>
        </w:rPr>
        <w:t xml:space="preserve">22–24</w:t>
      </w:r>
      <w:r>
        <w:t xml:space="preserve"> </w:t>
      </w:r>
      <w:r>
        <w:t xml:space="preserve">Prognostic framing that emphasizes the risk of severe aphasia may heavily influence surrogate decision-makers during early goals-of-care discussions, potentially driving lower intervention rates. This dynamic is consistent with the well-characterized self-fulfilling prophecy in neurocritical care. Conversely, severe neglect—which commonly complicates right-hemispheric lesions and profoundly impairs mobility and self-care—may be less frequently emphasized as a barrier to surgical candidacy, despite its distinct impact on caregiver burden and long-term disability.</w:t>
      </w:r>
    </w:p>
    <w:p>
      <w:pPr>
        <w:pStyle w:val="BodyText"/>
      </w:pPr>
      <w:r>
        <w:t xml:space="preserve">This study has several important limitations. First, we lacked granular data on critical confounders such as specific mass effect trajectories, degree of midline shift, hydrocephalus, and explicit family preferences. These unmeasured clinical nuances are primary drivers of surgical decision-making and could independently influence both perceived candidacy and outcomes. Second, we relied on hemispheric laterality as an imperfect proxy for true language dominance; because handedness data were unavailable, the expected 5–10% of patients with atypical dominance likely introduced non-differential misclassification, biasing our estimates toward the null. Third, absolute surgical event rates in this cohort were relatively low. Consequently, it is unclear if these associations are transportable to contemporary, unselected ICH populations or to patients with moderate-to-severe ICH who possess immediate indications for emergent surgery. Finally, attitudes toward disability and the frameworks used for shared decision-making carry significant cultural nuance, and our findings—derived primarily from cohorts in the United States—may not generalize across diverse global and socioeconomic settings.</w:t>
      </w:r>
    </w:p>
    <w:p>
      <w:pPr>
        <w:pStyle w:val="BodyText"/>
      </w:pPr>
      <w:r>
        <w:t xml:space="preserve">With recent randomized trials demonstrating the benefit of hematoma evacuation and decompressive craniectomy in appropriately selected ICH patients</w:t>
      </w:r>
      <w:r>
        <w:rPr>
          <w:vertAlign w:val="superscript"/>
        </w:rPr>
        <w:t xml:space="preserve">3,4</w:t>
      </w:r>
      <w:r>
        <w:t xml:space="preserve">, understanding the specific drivers of discretionary surgical decisions is increasingly critical. Future research should prospectively investigate the precise clinical criteria used to determine surgical candidacy, while also exploring the details of prognostic framing and shared decision-making across varying cultural contexts to ensure equitable and evidence-based neurosurgical care.</w:t>
      </w:r>
    </w:p>
    <w:bookmarkEnd w:id="26"/>
    <w:bookmarkStart w:id="27" w:name="conclusions"/>
    <w:p>
      <w:pPr>
        <w:pStyle w:val="Heading2"/>
      </w:pPr>
      <w:r>
        <w:t xml:space="preserve">Conclusions</w:t>
      </w:r>
    </w:p>
    <w:p>
      <w:pPr>
        <w:pStyle w:val="FirstParagraph"/>
      </w:pPr>
      <w:r>
        <w:t xml:space="preserve">In this post-hoc observational analysis, right hemispheric ICH was associated with a higher likelihood of neurosurgical intervention compared to left hemispheric ICH. However, 90-day functional outcomes were similar across hemispheres. While these findings highlight a potential laterality-driven disparity in treatment paradigms, residual confounding from unmeasured anatomical severity and family preferences cannot be excluded. Future prospective studies are needed to delineate the explicit clinical and prognostic drivers of surgical decision-making to optimize treatment allocation in ICH.</w:t>
      </w:r>
    </w:p>
    <w:p>
      <w:r>
        <w:br w:type="page"/>
      </w:r>
    </w:p>
    <w:bookmarkEnd w:id="27"/>
    <w:bookmarkStart w:id="28" w:name="acknowledgments"/>
    <w:p>
      <w:pPr>
        <w:pStyle w:val="Heading2"/>
      </w:pPr>
      <w:r>
        <w:t xml:space="preserve">Acknowledgments</w:t>
      </w:r>
    </w:p>
    <w:p>
      <w:pPr>
        <w:pStyle w:val="FirstParagraph"/>
      </w:pPr>
      <w:r>
        <w:rPr>
          <w:b/>
          <w:bCs/>
        </w:rPr>
        <w:t xml:space="preserve">Funding/support</w:t>
      </w:r>
      <w:r>
        <w:t xml:space="preserve">: The ATACH-2 clinical trial and ERICH prospective observational study were funded by the National Institute of Neurological Disorders and Stroke (NINDS).</w:t>
      </w:r>
    </w:p>
    <w:p>
      <w:pPr>
        <w:pStyle w:val="BodyText"/>
      </w:pPr>
      <w:r>
        <w:rPr>
          <w:b/>
          <w:bCs/>
        </w:rPr>
        <w:t xml:space="preserve">Role of the Funder/Sponsor</w:t>
      </w:r>
      <w:r>
        <w:t xml:space="preserve">: The study was supported in part by grant 5U01NS062091, NINDS and grant 5U01NS069763, NINDS. The sponsor had no role in the design and conduct of the current study.</w:t>
      </w:r>
    </w:p>
    <w:p>
      <w:pPr>
        <w:pStyle w:val="BodyText"/>
      </w:pPr>
      <w:r>
        <w:rPr>
          <w:b/>
          <w:bCs/>
        </w:rPr>
        <w:t xml:space="preserve">Conflict of Interest Disclosures</w:t>
      </w:r>
      <w:r>
        <w:t xml:space="preserve">: Dr. Magun discloses being a shareholder in Inovio Pharmaceuticals and StageZero Life Sciences.</w:t>
      </w:r>
    </w:p>
    <w:p>
      <w:pPr>
        <w:pStyle w:val="BodyText"/>
      </w:pPr>
      <w:r>
        <w:rPr>
          <w:b/>
          <w:bCs/>
        </w:rPr>
        <w:t xml:space="preserve">Additional Contributions</w:t>
      </w:r>
      <w:r>
        <w:t xml:space="preserve">: We thank all investigators for their efforts in conducting the ATACH-2 trial and ERICH study and thank all study participants for enrolling.</w:t>
      </w:r>
    </w:p>
    <w:p>
      <w:r>
        <w:br w:type="page"/>
      </w:r>
    </w:p>
    <w:bookmarkEnd w:id="28"/>
    <w:bookmarkStart w:id="76" w:name="references"/>
    <w:p>
      <w:pPr>
        <w:pStyle w:val="Heading2"/>
      </w:pPr>
      <w:r>
        <w:t xml:space="preserve">References</w:t>
      </w:r>
    </w:p>
    <w:bookmarkStart w:id="75" w:name="refs"/>
    <w:bookmarkStart w:id="30" w:name="ref-hemphillICHScoreSimple2001"/>
    <w:p>
      <w:pPr>
        <w:pStyle w:val="Bibliography"/>
      </w:pPr>
      <w:r>
        <w:t xml:space="preserve">1.</w:t>
      </w:r>
      <w:r>
        <w:t xml:space="preserve"> </w:t>
      </w:r>
      <w:r>
        <w:t xml:space="preserve">	</w:t>
      </w:r>
      <w:r>
        <w:t xml:space="preserve">Hemphill JC, Bonovich DC, Besmertis L, Manley GT, Johnston SC.</w:t>
      </w:r>
      <w:r>
        <w:t xml:space="preserve"> </w:t>
      </w:r>
      <w:hyperlink r:id="rId29">
        <w:r>
          <w:rPr>
            <w:rStyle w:val="Hyperlink"/>
          </w:rPr>
          <w:t xml:space="preserve">The</w:t>
        </w:r>
        <w:r>
          <w:rPr>
            <w:rStyle w:val="Hyperlink"/>
          </w:rPr>
          <w:t xml:space="preserve"> </w:t>
        </w:r>
        <w:r>
          <w:rPr>
            <w:rStyle w:val="Hyperlink"/>
          </w:rPr>
          <w:t xml:space="preserve">ICH Score</w:t>
        </w:r>
        <w:r>
          <w:rPr>
            <w:rStyle w:val="Hyperlink"/>
          </w:rPr>
          <w:t xml:space="preserve">:</w:t>
        </w:r>
        <w:r>
          <w:rPr>
            <w:rStyle w:val="Hyperlink"/>
          </w:rPr>
          <w:t xml:space="preserve"> </w:t>
        </w:r>
        <w:r>
          <w:rPr>
            <w:rStyle w:val="Hyperlink"/>
          </w:rPr>
          <w:t xml:space="preserve">A Simple</w:t>
        </w:r>
        <w:r>
          <w:rPr>
            <w:rStyle w:val="Hyperlink"/>
          </w:rPr>
          <w:t xml:space="preserve">,</w:t>
        </w:r>
        <w:r>
          <w:rPr>
            <w:rStyle w:val="Hyperlink"/>
          </w:rPr>
          <w:t xml:space="preserve"> </w:t>
        </w:r>
        <w:r>
          <w:rPr>
            <w:rStyle w:val="Hyperlink"/>
          </w:rPr>
          <w:t xml:space="preserve">Reliable Grading Scale</w:t>
        </w:r>
        <w:r>
          <w:rPr>
            <w:rStyle w:val="Hyperlink"/>
          </w:rPr>
          <w:t xml:space="preserve"> </w:t>
        </w:r>
        <w:r>
          <w:rPr>
            <w:rStyle w:val="Hyperlink"/>
          </w:rPr>
          <w:t xml:space="preserve">for</w:t>
        </w:r>
        <w:r>
          <w:rPr>
            <w:rStyle w:val="Hyperlink"/>
          </w:rPr>
          <w:t xml:space="preserve"> </w:t>
        </w:r>
        <w:r>
          <w:rPr>
            <w:rStyle w:val="Hyperlink"/>
          </w:rPr>
          <w:t xml:space="preserve">Intracerebral Hemorrhage</w:t>
        </w:r>
      </w:hyperlink>
      <w:r>
        <w:t xml:space="preserve">.</w:t>
      </w:r>
      <w:r>
        <w:t xml:space="preserve"> </w:t>
      </w:r>
      <w:r>
        <w:rPr>
          <w:i/>
          <w:iCs/>
        </w:rPr>
        <w:t xml:space="preserve">Stroke</w:t>
      </w:r>
      <w:r>
        <w:t xml:space="preserve">. 2001;32:891–897.</w:t>
      </w:r>
      <w:r>
        <w:t xml:space="preserve"> </w:t>
      </w:r>
    </w:p>
    <w:bookmarkEnd w:id="30"/>
    <w:bookmarkStart w:id="32" w:name="Xb1ab0250ddbe95fd4f2ad9af76384f9c74d3ea6"/>
    <w:p>
      <w:pPr>
        <w:pStyle w:val="Bibliography"/>
      </w:pPr>
      <w:r>
        <w:t xml:space="preserve">2.</w:t>
      </w:r>
      <w:r>
        <w:t xml:space="preserve"> </w:t>
      </w:r>
      <w:r>
        <w:t xml:space="preserve">	</w:t>
      </w:r>
      <w:r>
        <w:t xml:space="preserve">Sheth KN.</w:t>
      </w:r>
      <w:r>
        <w:t xml:space="preserve"> </w:t>
      </w:r>
      <w:hyperlink r:id="rId31">
        <w:r>
          <w:rPr>
            <w:rStyle w:val="Hyperlink"/>
          </w:rPr>
          <w:t xml:space="preserve">Spontaneous</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2022;387:1589–1596.</w:t>
      </w:r>
      <w:r>
        <w:t xml:space="preserve"> </w:t>
      </w:r>
    </w:p>
    <w:bookmarkEnd w:id="32"/>
    <w:bookmarkStart w:id="34" w:name="ref-pradillaTrialEarlyMinimally2024"/>
    <w:p>
      <w:pPr>
        <w:pStyle w:val="Bibliography"/>
      </w:pPr>
      <w:r>
        <w:t xml:space="preserve">3.</w:t>
      </w:r>
      <w:r>
        <w:t xml:space="preserve"> </w:t>
      </w:r>
      <w:r>
        <w:t xml:space="preserve">	</w:t>
      </w:r>
      <w:r>
        <w:t xml:space="preserve">Pradilla G, Ratcliff JJ, Hall AJ, Saville BR, Allen JW, Paulon G, McGlothlin A, Lewis RJ, Fitzgerald M, Caveney AF, et al.</w:t>
      </w:r>
      <w:r>
        <w:t xml:space="preserve"> </w:t>
      </w:r>
      <w:hyperlink r:id="rId33">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2024;390:1277–1289.</w:t>
      </w:r>
      <w:r>
        <w:t xml:space="preserve"> </w:t>
      </w:r>
    </w:p>
    <w:bookmarkEnd w:id="34"/>
    <w:bookmarkStart w:id="36" w:name="ref-bakoMinimallyInvasiveSurgery2023"/>
    <w:p>
      <w:pPr>
        <w:pStyle w:val="Bibliography"/>
      </w:pPr>
      <w:r>
        <w:t xml:space="preserve">4.</w:t>
      </w:r>
      <w:r>
        <w:t xml:space="preserve"> </w:t>
      </w:r>
      <w:r>
        <w:t xml:space="preserve">	</w:t>
      </w:r>
      <w:r>
        <w:t xml:space="preserve">Bako AT, Potter T, Pan AP, Tannous J, Britz G, Ziai WC, Awad I, Hanley D, Vahidy FS.</w:t>
      </w:r>
      <w:r>
        <w:t xml:space="preserve"> </w:t>
      </w:r>
      <w:hyperlink r:id="rId35">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2023;101:e1614–e1622.</w:t>
      </w:r>
      <w:r>
        <w:t xml:space="preserve"> </w:t>
      </w:r>
    </w:p>
    <w:bookmarkEnd w:id="36"/>
    <w:bookmarkStart w:id="38" w:name="ref-dileggeImpactLesionSide2005"/>
    <w:p>
      <w:pPr>
        <w:pStyle w:val="Bibliography"/>
      </w:pPr>
      <w:r>
        <w:t xml:space="preserve">5.</w:t>
      </w:r>
      <w:r>
        <w:t xml:space="preserve"> </w:t>
      </w:r>
      <w:r>
        <w:t xml:space="preserve">	</w:t>
      </w:r>
      <w:r>
        <w:t xml:space="preserve">Di Legge S, Fang J, Saposnik G, Hachinski V.</w:t>
      </w:r>
      <w:r>
        <w:t xml:space="preserve"> </w:t>
      </w:r>
      <w:hyperlink r:id="rId37">
        <w:r>
          <w:rPr>
            <w:rStyle w:val="Hyperlink"/>
          </w:rPr>
          <w:t xml:space="preserve">The impact of lesion side on acute stroke treatment</w:t>
        </w:r>
      </w:hyperlink>
      <w:r>
        <w:t xml:space="preserve">.</w:t>
      </w:r>
      <w:r>
        <w:t xml:space="preserve"> </w:t>
      </w:r>
      <w:r>
        <w:rPr>
          <w:i/>
          <w:iCs/>
        </w:rPr>
        <w:t xml:space="preserve">Neurology</w:t>
      </w:r>
      <w:r>
        <w:t xml:space="preserve">. 2005;65:81–86.</w:t>
      </w:r>
      <w:r>
        <w:t xml:space="preserve"> </w:t>
      </w:r>
    </w:p>
    <w:bookmarkEnd w:id="38"/>
    <w:bookmarkStart w:id="40" w:name="ref-foerchDifferenceRecognitionRight2005"/>
    <w:p>
      <w:pPr>
        <w:pStyle w:val="Bibliography"/>
      </w:pPr>
      <w:r>
        <w:t xml:space="preserve">6.</w:t>
      </w:r>
      <w:r>
        <w:t xml:space="preserve"> </w:t>
      </w:r>
      <w:r>
        <w:t xml:space="preserve">	</w:t>
      </w:r>
      <w:r>
        <w:t xml:space="preserve">Foerch C, Misselwitz B, Sitzer M, Berger K, Steinmetz H, Neumann-Haefelin T.</w:t>
      </w:r>
      <w:r>
        <w:t xml:space="preserve"> </w:t>
      </w:r>
      <w:hyperlink r:id="rId39">
        <w:r>
          <w:rPr>
            <w:rStyle w:val="Hyperlink"/>
          </w:rPr>
          <w:t xml:space="preserve">Difference in recognition of right and left hemispheric stroke</w:t>
        </w:r>
      </w:hyperlink>
      <w:r>
        <w:t xml:space="preserve">.</w:t>
      </w:r>
      <w:r>
        <w:t xml:space="preserve"> </w:t>
      </w:r>
      <w:r>
        <w:rPr>
          <w:i/>
          <w:iCs/>
        </w:rPr>
        <w:t xml:space="preserve">The Lancet</w:t>
      </w:r>
      <w:r>
        <w:t xml:space="preserve">. 2005;366:392–393.</w:t>
      </w:r>
      <w:r>
        <w:t xml:space="preserve"> </w:t>
      </w:r>
    </w:p>
    <w:bookmarkEnd w:id="40"/>
    <w:bookmarkStart w:id="42" w:name="ref-portegiesLeftsidedStrokesAre2015"/>
    <w:p>
      <w:pPr>
        <w:pStyle w:val="Bibliography"/>
      </w:pPr>
      <w:r>
        <w:t xml:space="preserve">7.</w:t>
      </w:r>
      <w:r>
        <w:t xml:space="preserve"> </w:t>
      </w:r>
      <w:r>
        <w:t xml:space="preserve">	</w:t>
      </w:r>
      <w:r>
        <w:t xml:space="preserve">Portegies MLP, Selwaness M, Hofman A, Koudstaal PJ, Vernooij MW, Ikram MA.</w:t>
      </w:r>
      <w:r>
        <w:t xml:space="preserve"> </w:t>
      </w:r>
      <w:hyperlink r:id="rId41">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2015;46:252–254.</w:t>
      </w:r>
      <w:r>
        <w:t xml:space="preserve"> </w:t>
      </w:r>
    </w:p>
    <w:bookmarkEnd w:id="42"/>
    <w:bookmarkStart w:id="44" w:name="ref-liStrokeLateralizationLarge2021"/>
    <w:p>
      <w:pPr>
        <w:pStyle w:val="Bibliography"/>
      </w:pPr>
      <w:r>
        <w:t xml:space="preserve">8.</w:t>
      </w:r>
      <w:r>
        <w:t xml:space="preserve"> </w:t>
      </w:r>
      <w:r>
        <w:t xml:space="preserve">	</w:t>
      </w:r>
      <w:r>
        <w:t xml:space="preserve">Li J, Zhang P, Liu Y, Chen W, Yi X, Wang C.</w:t>
      </w:r>
      <w:r>
        <w:t xml:space="preserve"> </w:t>
      </w:r>
      <w:hyperlink r:id="rId43">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r>
        <w:t xml:space="preserve"> </w:t>
      </w:r>
    </w:p>
    <w:bookmarkEnd w:id="44"/>
    <w:bookmarkStart w:id="46" w:name="X838bc231b1872fcffc9183d1e0517a825b33557"/>
    <w:p>
      <w:pPr>
        <w:pStyle w:val="Bibliography"/>
      </w:pPr>
      <w:r>
        <w:t xml:space="preserve">9.</w:t>
      </w:r>
      <w:r>
        <w:t xml:space="preserve"> </w:t>
      </w:r>
      <w:r>
        <w:t xml:space="preserve">	</w:t>
      </w:r>
      <w:r>
        <w:t xml:space="preserve">Deb-Chatterji M, Flottmann F, Meyer L, Brekenfeld C, Fiehler J, Gerloff C, Thomalla G, the GSR-ET-Investigators, Gerloff C, Fiehler J, et al.</w:t>
      </w:r>
      <w:r>
        <w:t xml:space="preserve"> </w:t>
      </w:r>
      <w:hyperlink r:id="rId45">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2022;4:58.</w:t>
      </w:r>
      <w:r>
        <w:t xml:space="preserve"> </w:t>
      </w:r>
    </w:p>
    <w:bookmarkEnd w:id="46"/>
    <w:bookmarkStart w:id="48" w:name="ref-leggeNeglectingDifference2006"/>
    <w:p>
      <w:pPr>
        <w:pStyle w:val="Bibliography"/>
      </w:pPr>
      <w:r>
        <w:t xml:space="preserve">10.</w:t>
      </w:r>
      <w:r>
        <w:t xml:space="preserve"> </w:t>
      </w:r>
      <w:r>
        <w:t xml:space="preserve">	</w:t>
      </w:r>
      <w:r>
        <w:t xml:space="preserve">Legge SD, Saposnik G, Nilanont Y, Hachinski V.</w:t>
      </w:r>
      <w:r>
        <w:t xml:space="preserve"> </w:t>
      </w:r>
      <w:hyperlink r:id="rId47">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2006;37:2066–2069.</w:t>
      </w:r>
      <w:r>
        <w:t xml:space="preserve"> </w:t>
      </w:r>
    </w:p>
    <w:bookmarkEnd w:id="48"/>
    <w:bookmarkStart w:id="50" w:name="X3c0b23a0f7bdee15362bbd61a2add3aa865ea88"/>
    <w:p>
      <w:pPr>
        <w:pStyle w:val="Bibliography"/>
      </w:pPr>
      <w:r>
        <w:t xml:space="preserve">11.</w:t>
      </w:r>
      <w:r>
        <w:t xml:space="preserve"> </w:t>
      </w:r>
      <w:r>
        <w:t xml:space="preserve">	</w:t>
      </w:r>
      <w:r>
        <w:t xml:space="preserve">Beuscher VD, Kuramatsu JB, Gerner ST, Köhn J, Lücking H, Kloska SP, Huttner HB.</w:t>
      </w:r>
      <w:r>
        <w:t xml:space="preserve"> </w:t>
      </w:r>
      <w:hyperlink r:id="rId49">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2017;43:117–123.</w:t>
      </w:r>
      <w:r>
        <w:t xml:space="preserve"> </w:t>
      </w:r>
    </w:p>
    <w:bookmarkEnd w:id="50"/>
    <w:bookmarkStart w:id="52" w:name="ref-satoHigherMortalityPatients2015"/>
    <w:p>
      <w:pPr>
        <w:pStyle w:val="Bibliography"/>
      </w:pPr>
      <w:r>
        <w:t xml:space="preserve">12.</w:t>
      </w:r>
      <w:r>
        <w:t xml:space="preserve"> </w:t>
      </w:r>
      <w:r>
        <w:t xml:space="preserve">	</w:t>
      </w:r>
      <w:r>
        <w:t xml:space="preserve">Sato S, Heeley E, Arima H, Delcourt C, Hirakawa Y, Pamidimukkala V, Li Z, Tao Q, Xu Y, Hennerici MG, et al.</w:t>
      </w:r>
      <w:r>
        <w:t xml:space="preserve"> </w:t>
      </w:r>
      <w:hyperlink r:id="rId51">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2015;86:1319–1323.</w:t>
      </w:r>
      <w:r>
        <w:t xml:space="preserve"> </w:t>
      </w:r>
    </w:p>
    <w:bookmarkEnd w:id="52"/>
    <w:bookmarkStart w:id="54" w:name="ref-beckDecompressiveCraniectomyBest2024"/>
    <w:p>
      <w:pPr>
        <w:pStyle w:val="Bibliography"/>
      </w:pPr>
      <w:r>
        <w:t xml:space="preserve">13.</w:t>
      </w:r>
      <w:r>
        <w:t xml:space="preserve"> </w:t>
      </w:r>
      <w:r>
        <w:t xml:space="preserve">	</w:t>
      </w:r>
      <w:r>
        <w:t xml:space="preserve">Beck J, Fung C, Strbian D, Bütikofer L, Z’Graggen WJ, Lang MF, Beyeler S, Gralla J, Ringel F, Schaller K, et al.</w:t>
      </w:r>
      <w:r>
        <w:t xml:space="preserve"> </w:t>
      </w:r>
      <w:hyperlink r:id="rId53">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2024;403:2395–2404.</w:t>
      </w:r>
      <w:r>
        <w:t xml:space="preserve"> </w:t>
      </w:r>
    </w:p>
    <w:bookmarkEnd w:id="54"/>
    <w:bookmarkStart w:id="56" w:name="Xe5698a0135fcc3ba325d1733a6b0d2457d0d2c6"/>
    <w:p>
      <w:pPr>
        <w:pStyle w:val="Bibliography"/>
      </w:pPr>
      <w:r>
        <w:t xml:space="preserve">14.</w:t>
      </w:r>
      <w:r>
        <w:t xml:space="preserve"> </w:t>
      </w:r>
      <w:r>
        <w:t xml:space="preserve">	</w:t>
      </w:r>
      <w:r>
        <w:t xml:space="preserve">Qureshi AI, Palesch YY, Barsan WG, Hanley DF, Hsu CY, Martin RL, Moy CS, Silbergleit R, Steiner T, Suarez JI, et al.</w:t>
      </w:r>
      <w:r>
        <w:t xml:space="preserve"> </w:t>
      </w:r>
      <w:hyperlink r:id="rId55">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2016;375:1033–1043.</w:t>
      </w:r>
      <w:r>
        <w:t xml:space="preserve"> </w:t>
      </w:r>
    </w:p>
    <w:bookmarkEnd w:id="56"/>
    <w:bookmarkStart w:id="58" w:name="ref-wooEthnicRacialVariations2013"/>
    <w:p>
      <w:pPr>
        <w:pStyle w:val="Bibliography"/>
      </w:pPr>
      <w:r>
        <w:t xml:space="preserve">15.</w:t>
      </w:r>
      <w:r>
        <w:t xml:space="preserve"> </w:t>
      </w:r>
      <w:r>
        <w:t xml:space="preserve">	</w:t>
      </w:r>
      <w:r>
        <w:t xml:space="preserve">Woo D, Rosand J, Kidwell C, McCauley JL, Osborne J, Brown MW, West SE, Rademacher EW, Waddy S, Roberts JN, et al.</w:t>
      </w:r>
      <w:r>
        <w:t xml:space="preserve"> </w:t>
      </w:r>
      <w:hyperlink r:id="rId57">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w:t>
      </w:r>
      <w:r>
        <w:t xml:space="preserve"> </w:t>
      </w:r>
    </w:p>
    <w:bookmarkEnd w:id="58"/>
    <w:bookmarkStart w:id="59" w:name="ref-dogucuBayesRulesIntroduction"/>
    <w:p>
      <w:pPr>
        <w:pStyle w:val="Bibliography"/>
      </w:pPr>
      <w:r>
        <w:t xml:space="preserve">16.</w:t>
      </w:r>
      <w:r>
        <w:t xml:space="preserve"> </w:t>
      </w:r>
      <w:r>
        <w:t xml:space="preserve">	</w:t>
      </w:r>
      <w:r>
        <w:t xml:space="preserve">Dogucu M Miles Q. Ott. Bayes</w:t>
      </w:r>
      <w:r>
        <w:t xml:space="preserve"> </w:t>
      </w:r>
      <w:r>
        <w:t xml:space="preserve">Rules</w:t>
      </w:r>
      <w:r>
        <w:t xml:space="preserve">!</w:t>
      </w:r>
      <w:r>
        <w:t xml:space="preserve"> </w:t>
      </w:r>
      <w:r>
        <w:t xml:space="preserve">An Introduction</w:t>
      </w:r>
      <w:r>
        <w:t xml:space="preserve"> </w:t>
      </w:r>
      <w:r>
        <w:t xml:space="preserve">to</w:t>
      </w:r>
      <w:r>
        <w:t xml:space="preserve"> </w:t>
      </w:r>
      <w:r>
        <w:t xml:space="preserve">Applied Bayesian Modeling</w:t>
      </w:r>
      <w:r>
        <w:t xml:space="preserve">.</w:t>
      </w:r>
      <w:r>
        <w:t xml:space="preserve"> </w:t>
      </w:r>
    </w:p>
    <w:bookmarkEnd w:id="59"/>
    <w:bookmarkStart w:id="60" w:name="X7e5fcb01483c46ceec3804400aa01747d15580c"/>
    <w:p>
      <w:pPr>
        <w:pStyle w:val="Bibliography"/>
      </w:pPr>
      <w:r>
        <w:t xml:space="preserve">17.</w:t>
      </w:r>
      <w:r>
        <w:t xml:space="preserve"> </w:t>
      </w:r>
      <w:r>
        <w:t xml:space="preserve">	</w:t>
      </w:r>
      <w:r>
        <w:t xml:space="preserve">McElreath R. Statistical</w:t>
      </w:r>
      <w:r>
        <w:t xml:space="preserve"> </w:t>
      </w:r>
      <w:r>
        <w:t xml:space="preserve">Rethinking</w:t>
      </w:r>
      <w:r>
        <w:t xml:space="preserve">:</w:t>
      </w:r>
      <w:r>
        <w:t xml:space="preserve"> </w:t>
      </w:r>
      <w:r>
        <w:t xml:space="preserve">A Bayesian 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CRC Press; 2020.</w:t>
      </w:r>
      <w:r>
        <w:t xml:space="preserve"> </w:t>
      </w:r>
    </w:p>
    <w:bookmarkEnd w:id="60"/>
    <w:bookmarkStart w:id="62" w:name="Xfbc06ab4e8a143dd15dec8dfd06cc82cc01ab3c"/>
    <w:p>
      <w:pPr>
        <w:pStyle w:val="Bibliography"/>
      </w:pPr>
      <w:r>
        <w:t xml:space="preserve">18.</w:t>
      </w:r>
      <w:r>
        <w:t xml:space="preserve"> </w:t>
      </w:r>
      <w:r>
        <w:t xml:space="preserve">	</w:t>
      </w:r>
      <w:r>
        <w:t xml:space="preserve">Kruschke JK.</w:t>
      </w:r>
      <w:r>
        <w:t xml:space="preserve"> </w:t>
      </w:r>
      <w:hyperlink r:id="rId61">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62"/>
    <w:bookmarkStart w:id="64" w:name="Xadd1365c52322e3ad3aed151084109b8ced3dcd"/>
    <w:p>
      <w:pPr>
        <w:pStyle w:val="Bibliography"/>
      </w:pPr>
      <w:r>
        <w:t xml:space="preserve">19.</w:t>
      </w:r>
      <w:r>
        <w:t xml:space="preserve"> </w:t>
      </w:r>
      <w:r>
        <w:t xml:space="preserve">	</w:t>
      </w:r>
      <w:r>
        <w:t xml:space="preserve">Debertin J, Jurado Vélez JA, Corlin L, Hidalgo B, Murray EJ.</w:t>
      </w:r>
      <w:r>
        <w:t xml:space="preserve"> </w:t>
      </w:r>
      <w:hyperlink r:id="rId63">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2024;35:642.</w:t>
      </w:r>
      <w:r>
        <w:t xml:space="preserve"> </w:t>
      </w:r>
    </w:p>
    <w:bookmarkEnd w:id="64"/>
    <w:bookmarkStart w:id="66" w:name="ref-tennantUseDirectedAcyclic2021"/>
    <w:p>
      <w:pPr>
        <w:pStyle w:val="Bibliography"/>
      </w:pPr>
      <w:r>
        <w:t xml:space="preserve">20.</w:t>
      </w:r>
      <w:r>
        <w:t xml:space="preserve"> </w:t>
      </w:r>
      <w:r>
        <w:t xml:space="preserve">	</w:t>
      </w:r>
      <w:r>
        <w:t xml:space="preserve">Tennant PWG, Murray EJ, Arnold KF, Berrie L, Fox MP, Gadd SC, Harrison WJ, Keeble C, Ranker LR, Textor J, et al.</w:t>
      </w:r>
      <w:r>
        <w:t xml:space="preserve"> </w:t>
      </w:r>
      <w:hyperlink r:id="rId65">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66"/>
    <w:bookmarkStart w:id="68" w:name="ref-hernanSpecifyingTargetTrial2016"/>
    <w:p>
      <w:pPr>
        <w:pStyle w:val="Bibliography"/>
      </w:pPr>
      <w:r>
        <w:t xml:space="preserve">21.</w:t>
      </w:r>
      <w:r>
        <w:t xml:space="preserve"> </w:t>
      </w:r>
      <w:r>
        <w:t xml:space="preserve">	</w:t>
      </w:r>
      <w:r>
        <w:t xml:space="preserve">Hernán MA, Sauer BC, Hernández-Díaz S, Platt R, Shrier I.</w:t>
      </w:r>
      <w:r>
        <w:t xml:space="preserve"> </w:t>
      </w:r>
      <w:hyperlink r:id="rId67">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r>
        <w:t xml:space="preserve"> </w:t>
      </w:r>
    </w:p>
    <w:bookmarkEnd w:id="68"/>
    <w:bookmarkStart w:id="70" w:name="X7a4c185c12dbffdfd1dae8f81a04f8589333b44"/>
    <w:p>
      <w:pPr>
        <w:pStyle w:val="Bibliography"/>
      </w:pPr>
      <w:r>
        <w:t xml:space="preserve">22.</w:t>
      </w:r>
      <w:r>
        <w:t xml:space="preserve"> </w:t>
      </w:r>
      <w:r>
        <w:t xml:space="preserve">	</w:t>
      </w:r>
      <w:r>
        <w:t xml:space="preserve">Neugebauer H, Creutzfeldt CJ, Hemphill JC, Heuschmann PU, Jüttler E.</w:t>
      </w:r>
      <w:r>
        <w:t xml:space="preserve"> </w:t>
      </w:r>
      <w:hyperlink r:id="rId69">
        <w:r>
          <w:rPr>
            <w:rStyle w:val="Hyperlink"/>
          </w:rPr>
          <w:t xml:space="preserve">DESTINY-S</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of</w:t>
        </w:r>
        <w:r>
          <w:rPr>
            <w:rStyle w:val="Hyperlink"/>
          </w:rPr>
          <w:t xml:space="preserve"> </w:t>
        </w:r>
        <w:r>
          <w:rPr>
            <w:rStyle w:val="Hyperlink"/>
          </w:rPr>
          <w:t xml:space="preserve">Physicians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2014;21:27–34.</w:t>
      </w:r>
      <w:r>
        <w:t xml:space="preserve"> </w:t>
      </w:r>
    </w:p>
    <w:bookmarkEnd w:id="70"/>
    <w:bookmarkStart w:id="72" w:name="X891c4e92ab559843651bf648920cce7507bc2b7"/>
    <w:p>
      <w:pPr>
        <w:pStyle w:val="Bibliography"/>
      </w:pPr>
      <w:r>
        <w:t xml:space="preserve">23.</w:t>
      </w:r>
      <w:r>
        <w:t xml:space="preserve"> </w:t>
      </w:r>
      <w:r>
        <w:t xml:space="preserve">	</w:t>
      </w:r>
      <w:r>
        <w:t xml:space="preserve">Neugebauer H, Schnabl M, Lulé D, Heuschmann PU, Jüttler E, IGNITE Study Group (Initiative of German NeuroIntensive Trial Engagement).</w:t>
      </w:r>
      <w:r>
        <w:t xml:space="preserve"> </w:t>
      </w:r>
      <w:hyperlink r:id="rId71">
        <w:r>
          <w:rPr>
            <w:rStyle w:val="Hyperlink"/>
          </w:rPr>
          <w:t xml:space="preserve">Attitudes of</w:t>
        </w:r>
        <w:r>
          <w:rPr>
            <w:rStyle w:val="Hyperlink"/>
          </w:rPr>
          <w:t xml:space="preserve"> </w:t>
        </w:r>
        <w:r>
          <w:rPr>
            <w:rStyle w:val="Hyperlink"/>
          </w:rPr>
          <w:t xml:space="preserve">Patients</w:t>
        </w:r>
        <w:r>
          <w:rPr>
            <w:rStyle w:val="Hyperlink"/>
          </w:rPr>
          <w:t xml:space="preserve"> </w:t>
        </w:r>
        <w:r>
          <w:rPr>
            <w:rStyle w:val="Hyperlink"/>
          </w:rPr>
          <w:t xml:space="preserve">and</w:t>
        </w:r>
        <w:r>
          <w:rPr>
            <w:rStyle w:val="Hyperlink"/>
          </w:rPr>
          <w:t xml:space="preserve"> </w:t>
        </w:r>
        <w:r>
          <w:rPr>
            <w:rStyle w:val="Hyperlink"/>
          </w:rPr>
          <w:t xml:space="preserve">Relatives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2017;26:311–318.</w:t>
      </w:r>
      <w:r>
        <w:t xml:space="preserve"> </w:t>
      </w:r>
    </w:p>
    <w:bookmarkEnd w:id="72"/>
    <w:bookmarkStart w:id="74" w:name="X43fe660b2331ec7445277f5239a44c6686e4cba"/>
    <w:p>
      <w:pPr>
        <w:pStyle w:val="Bibliography"/>
      </w:pPr>
      <w:r>
        <w:t xml:space="preserve">24.</w:t>
      </w:r>
      <w:r>
        <w:t xml:space="preserve"> </w:t>
      </w:r>
      <w:r>
        <w:t xml:space="preserve">	</w:t>
      </w:r>
      <w:r>
        <w:t xml:space="preserve">Neugebauer H, Malakou F, Uttner I, Köpke M, Jüttler E, IGNITE Study Group (Initiative of German NeuroIntensive Trial Engagement).</w:t>
      </w:r>
      <w:r>
        <w:t xml:space="preserve"> </w:t>
      </w:r>
      <w:hyperlink r:id="rId73">
        <w:r>
          <w:rPr>
            <w:rStyle w:val="Hyperlink"/>
          </w:rPr>
          <w:t xml:space="preserve">Attitudes of</w:t>
        </w:r>
        <w:r>
          <w:rPr>
            <w:rStyle w:val="Hyperlink"/>
          </w:rPr>
          <w:t xml:space="preserve"> </w:t>
        </w:r>
        <w:r>
          <w:rPr>
            <w:rStyle w:val="Hyperlink"/>
          </w:rPr>
          <w:t xml:space="preserve">Nurses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Space-Occupying Middle Cerebral Artery Stroke</w:t>
        </w:r>
      </w:hyperlink>
      <w:r>
        <w:t xml:space="preserve">.</w:t>
      </w:r>
      <w:r>
        <w:t xml:space="preserve"> </w:t>
      </w:r>
      <w:r>
        <w:rPr>
          <w:i/>
          <w:iCs/>
        </w:rPr>
        <w:t xml:space="preserve">Neurocritical Care</w:t>
      </w:r>
      <w:r>
        <w:t xml:space="preserve">. 2019;30:132–138.</w:t>
      </w:r>
      <w:r>
        <w:t xml:space="preserve"> </w:t>
      </w:r>
    </w:p>
    <w:bookmarkEnd w:id="74"/>
    <w:bookmarkEnd w:id="75"/>
    <w:p>
      <w:r>
        <w:br w:type="page"/>
      </w:r>
    </w:p>
    <w:bookmarkEnd w:id="76"/>
    <w:bookmarkStart w:id="80"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7" w:name="tbl-1"/>
          <w:p>
            <w:pPr>
              <w:jc w:val="center"/>
            </w:pPr>
            <w:pPr>
              <w:jc w:val="left"/>
              <w:spacing w:before="200"/>
              <w:pStyle w:val="ImageCaption"/>
            </w:pPr>
            <w:r>
              <w:t xml:space="preserve">Table 1: Demographic and Clinical Characteristics of Patients with Left and Right Hemispheric Intracerebral Hemorrhage at Baseline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3,477</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Left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1,720</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Right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1,757</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SMD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713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683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Alaskan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2,296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LNW to ED Presentation (mins)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(59,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SBP (mm 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NIHSS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GCS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II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Previous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Location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Basal Ganglia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Thalamus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1,157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Volume (mL)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IVH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Study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ATACH-2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ERICH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2,487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1,248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defaul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p>
              </w:tc>
            </w:tr>
          </w:tbl>
          <w:bookmarkEnd w:id="77"/>
        </w:tc>
      </w:tr>
    </w:tbl>
    <w:p>
      <w:r>
        <w:br w:type="page"/>
      </w:r>
    </w:p>
    <w:tbl>
      <w:tblPr>
        <w:tblStyle w:val="Table"/>
        <w:tblW w:type="pct" w:w="5000"/>
        <w:tblLayout w:type="fixed"/>
        <w:tblLook w:firstRow="0" w:lastRow="0" w:firstColumn="0" w:lastColumn="0" w:noHBand="0" w:noVBand="0" w:val="0000"/>
      </w:tblPr>
      <w:tblGrid>
        <w:gridCol w:w="7920"/>
      </w:tblGrid>
      <w:tr>
        <w:tc>
          <w:tcPr/>
          <w:bookmarkStart w:id="78" w:name="tbl-2"/>
          <w:p>
            <w:pPr>
              <w:jc w:val="center"/>
            </w:pPr>
            <w:pPr>
              <w:jc w:val="left"/>
              <w:spacing w:before="200"/>
              <w:pStyle w:val="ImageCaption"/>
            </w:pPr>
            <w:r>
              <w:t xml:space="preserve">Table 2: Association of Hemispheric Laterality with Primary and Secondary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(0.66 - 1.91)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0.93 (0.63 - 1.35)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(0.85 - 1.21)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41.3%</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78"/>
        </w:tc>
      </w:tr>
    </w:tbl>
    <w:p>
      <w:r>
        <w:br w:type="page"/>
      </w:r>
    </w:p>
    <w:tbl>
      <w:tblPr>
        <w:tblStyle w:val="Table"/>
        <w:tblW w:type="pct" w:w="5000"/>
        <w:tblLayout w:type="fixed"/>
        <w:tblLook w:firstRow="0" w:lastRow="0" w:firstColumn="0" w:lastColumn="0" w:noHBand="0" w:noVBand="0" w:val="0000"/>
      </w:tblPr>
      <w:tblGrid>
        <w:gridCol w:w="7920"/>
      </w:tblGrid>
      <w:tr>
        <w:tc>
          <w:tcPr/>
          <w:bookmarkStart w:id="79" w:name="tbl-3"/>
          <w:p>
            <w:pPr>
              <w:jc w:val="center"/>
            </w:pPr>
            <w:pPr>
              <w:jc w:val="left"/>
              <w:spacing w:before="200"/>
              <w:pStyle w:val="ImageCaption"/>
            </w:pPr>
            <w:r>
              <w:t xml:space="preserve">Table 3: Association of Hemispheric Laterality with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62.3%</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79"/>
        </w:tc>
      </w:tr>
    </w:tbl>
    <w:p>
      <w:r>
        <w:br w:type="page"/>
      </w:r>
    </w:p>
    <w:bookmarkEnd w:id="80"/>
    <w:bookmarkStart w:id="89"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4" w:name="fig-1"/>
          <w:p>
            <w:pPr>
              <w:pStyle w:val="Compact"/>
              <w:jc w:val="center"/>
            </w:pPr>
            <w:r>
              <w:drawing>
                <wp:inline>
                  <wp:extent cx="5943600" cy="5943600"/>
                  <wp:effectExtent b="0" l="0" r="0" t="0"/>
                  <wp:docPr descr="" title="" id="82" name="Picture"/>
                  <a:graphic>
                    <a:graphicData uri="http://schemas.openxmlformats.org/drawingml/2006/picture">
                      <pic:pic>
                        <pic:nvPicPr>
                          <pic:cNvPr descr="../figures/figure_sensitivity_neurosurgery_evac.pdf" id="83" name="Picture"/>
                          <pic:cNvPicPr>
                            <a:picLocks noChangeArrowheads="1" noChangeAspect="1"/>
                          </pic:cNvPicPr>
                        </pic:nvPicPr>
                        <pic:blipFill>
                          <a:blip r:embed="rId8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Prior Sensitivity Analysis for Neurosurgical Intervention</w:t>
            </w:r>
          </w:p>
          <w:bookmarkEnd w:id="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2"/>
          <w:p>
            <w:pPr>
              <w:pStyle w:val="Compact"/>
              <w:jc w:val="center"/>
            </w:pPr>
            <w:r>
              <w:drawing>
                <wp:inline>
                  <wp:extent cx="5943600" cy="3820885"/>
                  <wp:effectExtent b="0" l="0" r="0" t="0"/>
                  <wp:docPr descr="" title="" id="86" name="Picture"/>
                  <a:graphic>
                    <a:graphicData uri="http://schemas.openxmlformats.org/drawingml/2006/picture">
                      <pic:pic>
                        <pic:nvPicPr>
                          <pic:cNvPr descr="../figures/mrs/figure_mrs_main_neutral_adjusted.pdf" id="87" name="Picture"/>
                          <pic:cNvPicPr>
                            <a:picLocks noChangeArrowheads="1" noChangeAspect="1"/>
                          </pic:cNvPicPr>
                        </pic:nvPicPr>
                        <pic:blipFill>
                          <a:blip r:embed="rId85"/>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modified Rankin Score at 90 days Stratified by ICH Laterality</w:t>
            </w:r>
          </w:p>
          <w:bookmarkEnd w:id="88"/>
        </w:tc>
      </w:tr>
    </w:tbl>
    <w:bookmarkEnd w:id="89"/>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Aptos">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180" w:before="18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1" Target="media/rId81.pdf" /><Relationship Type="http://schemas.openxmlformats.org/officeDocument/2006/relationships/image" Id="rId85" Target="media/rId85.pdf" /><Relationship Type="http://schemas.openxmlformats.org/officeDocument/2006/relationships/hyperlink" Id="rId69" Target="https://doi.org/10.1007/s12028-014-9956-0" TargetMode="External" /><Relationship Type="http://schemas.openxmlformats.org/officeDocument/2006/relationships/hyperlink" Id="rId71" Target="https://doi.org/10.1007/s12028-016-0362-7" TargetMode="External" /><Relationship Type="http://schemas.openxmlformats.org/officeDocument/2006/relationships/hyperlink" Id="rId73" Target="https://doi.org/10.1007/s12028-018-0586-9" TargetMode="External" /><Relationship Type="http://schemas.openxmlformats.org/officeDocument/2006/relationships/hyperlink" Id="rId39" Target="https://doi.org/10.1016/S0140-6736(05)67024-9" TargetMode="External" /><Relationship Type="http://schemas.openxmlformats.org/officeDocument/2006/relationships/hyperlink" Id="rId53" Target="https://doi.org/10.1016/S0140-6736(24)00702-5" TargetMode="External" /><Relationship Type="http://schemas.openxmlformats.org/officeDocument/2006/relationships/hyperlink" Id="rId67" Target="https://doi.org/10.1016/j.jclinepi.2016.04.014" TargetMode="External" /><Relationship Type="http://schemas.openxmlformats.org/officeDocument/2006/relationships/hyperlink" Id="rId61" Target="https://doi.org/10.1038/s41562-021-01177-7" TargetMode="External" /><Relationship Type="http://schemas.openxmlformats.org/officeDocument/2006/relationships/hyperlink" Id="rId55" Target="https://doi.org/10.1056/NEJMoa1603460" TargetMode="External" /><Relationship Type="http://schemas.openxmlformats.org/officeDocument/2006/relationships/hyperlink" Id="rId33" Target="https://doi.org/10.1056/NEJMoa2308440" TargetMode="External" /><Relationship Type="http://schemas.openxmlformats.org/officeDocument/2006/relationships/hyperlink" Id="rId31" Target="https://doi.org/10.1056/NEJMra2201449" TargetMode="External" /><Relationship Type="http://schemas.openxmlformats.org/officeDocument/2006/relationships/hyperlink" Id="rId65" Target="https://doi.org/10.1093/ije/dyaa213" TargetMode="External" /><Relationship Type="http://schemas.openxmlformats.org/officeDocument/2006/relationships/hyperlink" Id="rId63" Target="https://doi.org/10.1097/EDE.0000000000001758" TargetMode="External" /><Relationship Type="http://schemas.openxmlformats.org/officeDocument/2006/relationships/hyperlink" Id="rId51" Target="https://doi.org/10.1136/jnnp-2014-309870" TargetMode="External" /><Relationship Type="http://schemas.openxmlformats.org/officeDocument/2006/relationships/hyperlink" Id="rId49" Target="https://doi.org/10.1159/000454775" TargetMode="External" /><Relationship Type="http://schemas.openxmlformats.org/officeDocument/2006/relationships/hyperlink" Id="rId47" Target="https://doi.org/10.1161/01.STR.0000229899.66019.62" TargetMode="External" /><Relationship Type="http://schemas.openxmlformats.org/officeDocument/2006/relationships/hyperlink" Id="rId29" Target="https://doi.org/10.1161/01.STR.32.4.891" TargetMode="External" /><Relationship Type="http://schemas.openxmlformats.org/officeDocument/2006/relationships/hyperlink" Id="rId57" Target="https://doi.org/10.1161/STROKEAHA.113.002332" TargetMode="External" /><Relationship Type="http://schemas.openxmlformats.org/officeDocument/2006/relationships/hyperlink" Id="rId41" Target="https://doi.org/10.1161/STROKEAHA.114.007385" TargetMode="External" /><Relationship Type="http://schemas.openxmlformats.org/officeDocument/2006/relationships/hyperlink" Id="rId45" Target="https://doi.org/10.1186/s42466-022-00223-7" TargetMode="External" /><Relationship Type="http://schemas.openxmlformats.org/officeDocument/2006/relationships/hyperlink" Id="rId37" Target="https://doi.org/10.1212/01.wnl.0000167608.94237.aa" TargetMode="External" /><Relationship Type="http://schemas.openxmlformats.org/officeDocument/2006/relationships/hyperlink" Id="rId35" Target="https://doi.org/10.1212/WNL.0000000000207735" TargetMode="External" /><Relationship Type="http://schemas.openxmlformats.org/officeDocument/2006/relationships/hyperlink" Id="rId43" Target="https://doi.org/10.3389/fneur.2021.774247" TargetMode="External" /><Relationship Type="http://schemas.openxmlformats.org/officeDocument/2006/relationships/hyperlink" Id="rId18"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07/s12028-014-9956-0" TargetMode="External" /><Relationship Type="http://schemas.openxmlformats.org/officeDocument/2006/relationships/hyperlink" Id="rId71" Target="https://doi.org/10.1007/s12028-016-0362-7" TargetMode="External" /><Relationship Type="http://schemas.openxmlformats.org/officeDocument/2006/relationships/hyperlink" Id="rId73" Target="https://doi.org/10.1007/s12028-018-0586-9" TargetMode="External" /><Relationship Type="http://schemas.openxmlformats.org/officeDocument/2006/relationships/hyperlink" Id="rId39" Target="https://doi.org/10.1016/S0140-6736(05)67024-9" TargetMode="External" /><Relationship Type="http://schemas.openxmlformats.org/officeDocument/2006/relationships/hyperlink" Id="rId53" Target="https://doi.org/10.1016/S0140-6736(24)00702-5" TargetMode="External" /><Relationship Type="http://schemas.openxmlformats.org/officeDocument/2006/relationships/hyperlink" Id="rId67" Target="https://doi.org/10.1016/j.jclinepi.2016.04.014" TargetMode="External" /><Relationship Type="http://schemas.openxmlformats.org/officeDocument/2006/relationships/hyperlink" Id="rId61" Target="https://doi.org/10.1038/s41562-021-01177-7" TargetMode="External" /><Relationship Type="http://schemas.openxmlformats.org/officeDocument/2006/relationships/hyperlink" Id="rId55" Target="https://doi.org/10.1056/NEJMoa1603460" TargetMode="External" /><Relationship Type="http://schemas.openxmlformats.org/officeDocument/2006/relationships/hyperlink" Id="rId33" Target="https://doi.org/10.1056/NEJMoa2308440" TargetMode="External" /><Relationship Type="http://schemas.openxmlformats.org/officeDocument/2006/relationships/hyperlink" Id="rId31" Target="https://doi.org/10.1056/NEJMra2201449" TargetMode="External" /><Relationship Type="http://schemas.openxmlformats.org/officeDocument/2006/relationships/hyperlink" Id="rId65" Target="https://doi.org/10.1093/ije/dyaa213" TargetMode="External" /><Relationship Type="http://schemas.openxmlformats.org/officeDocument/2006/relationships/hyperlink" Id="rId63" Target="https://doi.org/10.1097/EDE.0000000000001758" TargetMode="External" /><Relationship Type="http://schemas.openxmlformats.org/officeDocument/2006/relationships/hyperlink" Id="rId51" Target="https://doi.org/10.1136/jnnp-2014-309870" TargetMode="External" /><Relationship Type="http://schemas.openxmlformats.org/officeDocument/2006/relationships/hyperlink" Id="rId49" Target="https://doi.org/10.1159/000454775" TargetMode="External" /><Relationship Type="http://schemas.openxmlformats.org/officeDocument/2006/relationships/hyperlink" Id="rId47" Target="https://doi.org/10.1161/01.STR.0000229899.66019.62" TargetMode="External" /><Relationship Type="http://schemas.openxmlformats.org/officeDocument/2006/relationships/hyperlink" Id="rId29" Target="https://doi.org/10.1161/01.STR.32.4.891" TargetMode="External" /><Relationship Type="http://schemas.openxmlformats.org/officeDocument/2006/relationships/hyperlink" Id="rId57" Target="https://doi.org/10.1161/STROKEAHA.113.002332" TargetMode="External" /><Relationship Type="http://schemas.openxmlformats.org/officeDocument/2006/relationships/hyperlink" Id="rId41" Target="https://doi.org/10.1161/STROKEAHA.114.007385" TargetMode="External" /><Relationship Type="http://schemas.openxmlformats.org/officeDocument/2006/relationships/hyperlink" Id="rId45" Target="https://doi.org/10.1186/s42466-022-00223-7" TargetMode="External" /><Relationship Type="http://schemas.openxmlformats.org/officeDocument/2006/relationships/hyperlink" Id="rId37" Target="https://doi.org/10.1212/01.wnl.0000167608.94237.aa" TargetMode="External" /><Relationship Type="http://schemas.openxmlformats.org/officeDocument/2006/relationships/hyperlink" Id="rId35" Target="https://doi.org/10.1212/WNL.0000000000207735" TargetMode="External" /><Relationship Type="http://schemas.openxmlformats.org/officeDocument/2006/relationships/hyperlink" Id="rId43" Target="https://doi.org/10.3389/fneur.2021.774247" TargetMode="External" /><Relationship Type="http://schemas.openxmlformats.org/officeDocument/2006/relationships/hyperlink" Id="rId18" Target="https://github.com/nikhilpatelmd/ich-laterality"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LibreOffice/26.2.2.2$Linux_X86_64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Neurosurgical Intervention in Intracerebral Hemorrhage: A Post-Hoc Bayesian Analysis of ATACH-2 and ERICH</dc:title>
  <dc:creator/>
  <cp:keywords/>
  <dcterms:created xsi:type="dcterms:W3CDTF">2026-05-05T16:47:55Z</dcterms:created>
  <dcterms:modified xsi:type="dcterms:W3CDTF">2026-05-05T16:47:55Z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toc-title">
    <vt:lpwstr>Contents</vt:lpwstr>
  </property>
</Properties>
</file>