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TestCo</w:t>
      </w:r>
    </w:p>
    <w:p>
      <w:pPr>
        <w:jc w:val="center"/>
      </w:pPr>
      <w:r>
        <w:t>Carbon Audit &amp; ESG Sustainability Report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jc w:val="both"/>
      </w:pPr>
      <w:r>
        <w:t>This section covers Executive Summary for TestCo operating in the Steel sector. Based on the reported data, total Scope 1 emissions are 431.9 tCO2e, Scope 2 emissions are 3540.0 tCO2e, and Scope 3 (value chain) emissions are 6.0 tCO2e, yielding a combined footprint of 3977.9 tCO2e. Carbon intensity relative to annual revenue (USD 1,000,000.0) is 0.004 tCO2e per USD. Waste recycling rate stands at 60.0%. Female workforce representation is 40.0% and board diversity is 37.5%. The organisation is advised to implement a structured emission reduction roadmap aligned with GHG Protocol standards and ISO 14064 requirements to demonstrate continued commitment to environmental stewardship and regulatory compliance.</w:t>
      </w:r>
    </w:p>
    <w:p>
      <w:pPr>
        <w:pStyle w:val="Heading1"/>
      </w:pPr>
      <w:r>
        <w:t>Company Overview</w:t>
      </w:r>
    </w:p>
    <w:p>
      <w:pPr>
        <w:jc w:val="both"/>
      </w:pPr>
      <w:r>
        <w:t>This section covers Company Overview for TestCo operating in the Steel sector. Based on the reported data, total Scope 1 emissions are 431.9 tCO2e, Scope 2 emissions are 3540.0 tCO2e, and Scope 3 (value chain) emissions are 6.0 tCO2e, yielding a combined footprint of 3977.9 tCO2e. Carbon intensity relative to annual revenue (USD 1,000,000.0) is 0.004 tCO2e per USD. Waste recycling rate stands at 60.0%. Female workforce representation is 40.0% and board diversity is 37.5%. The organisation is advised to implement a structured emission reduction roadmap aligned with GHG Protocol standards and ISO 14064 requirements to demonstrate continued commitment to environmental stewardship and regulatory compliance.</w:t>
      </w:r>
    </w:p>
    <w:p>
      <w:pPr>
        <w:pStyle w:val="Heading1"/>
      </w:pPr>
      <w:r>
        <w:t>Environmental Impact</w:t>
      </w:r>
    </w:p>
    <w:p>
      <w:pPr>
        <w:jc w:val="both"/>
      </w:pPr>
      <w:r>
        <w:t>This section covers Environmental Impact for TestCo operating in the Steel sector. Based on the reported data, total Scope 1 emissions are 431.9 tCO2e, Scope 2 emissions are 3540.0 tCO2e, and Scope 3 (value chain) emissions are 6.0 tCO2e, yielding a combined footprint of 3977.9 tCO2e. Carbon intensity relative to annual revenue (USD 1,000,000.0) is 0.004 tCO2e per USD. Waste recycling rate stands at 60.0%. Female workforce representation is 40.0% and board diversity is 37.5%. The organisation is advised to implement a structured emission reduction roadmap aligned with GHG Protocol standards and ISO 14064 requirements to demonstrate continued commitment to environmental stewardship and regulatory compliance.</w:t>
      </w:r>
    </w:p>
    <w:p>
      <w:pPr>
        <w:pStyle w:val="Heading1"/>
      </w:pPr>
      <w:r>
        <w:t>Carbon Reduction Strategy</w:t>
      </w:r>
    </w:p>
    <w:p>
      <w:pPr>
        <w:jc w:val="both"/>
      </w:pPr>
      <w:r>
        <w:t>This section covers Carbon Reduction Strategy for TestCo operating in the Steel sector. Based on the reported data, total Scope 1 emissions are 431.9 tCO2e, Scope 2 emissions are 3540.0 tCO2e, and Scope 3 (value chain) emissions are 6.0 tCO2e, yielding a combined footprint of 3977.9 tCO2e. Carbon intensity relative to annual revenue (USD 1,000,000.0) is 0.004 tCO2e per USD. Waste recycling rate stands at 60.0%. Female workforce representation is 40.0% and board diversity is 37.5%. The organisation is advised to implement a structured emission reduction roadmap aligned with GHG Protocol standards and ISO 14064 requirements to demonstrate continued commitment to environmental stewardship and regulatory compliance.</w:t>
      </w:r>
    </w:p>
    <w:p>
      <w:pPr>
        <w:pStyle w:val="Heading1"/>
      </w:pPr>
      <w:r>
        <w:t>Emission Analysis</w:t>
      </w:r>
    </w:p>
    <w:p>
      <w:pPr>
        <w:jc w:val="both"/>
      </w:pPr>
      <w:r>
        <w:t>This section covers Emission Analysis for TestCo operating in the Steel sector. Based on the reported data, total Scope 1 emissions are 431.9 tCO2e, Scope 2 emissions are 3540.0 tCO2e, and Scope 3 (value chain) emissions are 6.0 tCO2e, yielding a combined footprint of 3977.9 tCO2e. Carbon intensity relative to annual revenue (USD 1,000,000.0) is 0.004 tCO2e per USD. Waste recycling rate stands at 60.0%. Female workforce representation is 40.0% and board diversity is 37.5%. The organisation is advised to implement a structured emission reduction roadmap aligned with GHG Protocol standards and ISO 14064 requirements to demonstrate continued commitment to environmental stewardship and regulatory compliance.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ssion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 – Emission Distribution</w:t>
      </w:r>
    </w:p>
    <w:p>
      <w:pPr>
        <w:pStyle w:val="Heading1"/>
      </w:pPr>
      <w:r>
        <w:t>Future Sustainability Roadmap</w:t>
      </w:r>
    </w:p>
    <w:p>
      <w:pPr>
        <w:jc w:val="both"/>
      </w:pPr>
      <w:r>
        <w:t>This section covers Future Sustainability Roadmap for TestCo operating in the Steel sector. Based on the reported data, total Scope 1 emissions are 431.9 tCO2e, Scope 2 emissions are 3540.0 tCO2e, and Scope 3 (value chain) emissions are 6.0 tCO2e, yielding a combined footprint of 3977.9 tCO2e. Carbon intensity relative to annual revenue (USD 1,000,000.0) is 0.004 tCO2e per USD. Waste recycling rate stands at 60.0%. Female workforce representation is 40.0% and board diversity is 37.5%. The organisation is advised to implement a structured emission reduction roadmap aligned with GHG Protocol standards and ISO 14064 requirements to demonstrate continued commitment to environmental stewardship and regulatory compliance.</w:t>
      </w:r>
    </w:p>
    <w:p>
      <w:pPr>
        <w:pStyle w:val="Heading1"/>
      </w:pPr>
      <w:r>
        <w:t>Environmental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Emissions</w:t>
            </w:r>
          </w:p>
        </w:tc>
        <w:tc>
          <w:tcPr>
            <w:tcW w:type="dxa" w:w="4320"/>
          </w:tcPr>
          <w:p>
            <w:r>
              <w:t>3977.9</w:t>
            </w:r>
          </w:p>
        </w:tc>
      </w:tr>
      <w:tr>
        <w:tc>
          <w:tcPr>
            <w:tcW w:type="dxa" w:w="4320"/>
          </w:tcPr>
          <w:p>
            <w:r>
              <w:t>Carbon Intensity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Recycle Rate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Female Workforce %</w:t>
            </w:r>
          </w:p>
        </w:tc>
        <w:tc>
          <w:tcPr>
            <w:tcW w:type="dxa" w:w="4320"/>
          </w:tcPr>
          <w:p>
            <w:r>
              <w:t>40.0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