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before="60" w:after="40"/>
        <w:jc w:val="center"/>
      </w:pPr>
      <w:r>
        <w:rPr>
          <w:rFonts w:ascii="Arial" w:cs="Arial" w:eastAsia="Arial" w:hAnsi="Arial"/>
          <w:b/>
          <w:bCs/>
          <w:i w:val="false"/>
          <w:iCs w:val="false"/>
          <w:color w:val="1A5C38"/>
          <w:sz w:val="80"/>
          <w:szCs w:val="80"/>
        </w:rPr>
        <w:t xml:space="preserve">🌿 EcoChain</w:t>
      </w:r>
    </w:p>
    <w:p>
      <w:pPr>
        <w:spacing w:before="60" w:after="40"/>
        <w:jc w:val="center"/>
      </w:pPr>
      <w:r>
        <w:rPr>
          <w:rFonts w:ascii="Arial" w:cs="Arial" w:eastAsia="Arial" w:hAnsi="Arial"/>
          <w:b w:val="false"/>
          <w:bCs w:val="false"/>
          <w:i/>
          <w:iCs/>
          <w:color w:val="2E7D52"/>
          <w:sz w:val="36"/>
          <w:szCs w:val="36"/>
        </w:rPr>
        <w:t xml:space="preserve">Database Schema Document</w:t>
      </w:r>
    </w:p>
    <w:p>
      <w:pPr>
        <w:spacing w:before="60" w:after="80"/>
        <w:jc w:val="center"/>
      </w:pPr>
      <w:r>
        <w:rPr>
          <w:rFonts w:ascii="Arial" w:cs="Arial" w:eastAsia="Arial" w:hAnsi="Arial"/>
          <w:b w:val="false"/>
          <w:bCs w:val="false"/>
          <w:i w:val="false"/>
          <w:iCs w:val="false"/>
          <w:color w:val="566573"/>
          <w:sz w:val="22"/>
          <w:szCs w:val="22"/>
        </w:rPr>
        <w:t xml:space="preserve">MongoDB Collections · Mongoose Schemas · Indexes · Relationships</w:t>
      </w:r>
    </w:p>
    <w:p>
      <w:pPr>
        <w:spacing w:before="0" w:after="1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Database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Atlas (Free 512MB)</w:t>
            </w:r>
          </w:p>
        </w:tc>
      </w:tr>
      <w:tr>
        <w:tc>
          <w:tcPr>
            <w:tcW w:type="dxa" w:w="27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ODM</w:t>
            </w:r>
          </w:p>
        </w:tc>
        <w:tc>
          <w:tcPr>
            <w:tcW w:type="dxa" w:w="27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v8</w:t>
            </w:r>
          </w:p>
        </w:tc>
      </w:tr>
      <w:tr>
        <w:tc>
          <w:tcPr>
            <w:tcW w:type="dxa" w:w="27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 Collections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16 Collections</w:t>
            </w:r>
          </w:p>
        </w:tc>
      </w:tr>
      <w:tr>
        <w:tc>
          <w:tcPr>
            <w:tcW w:type="dxa" w:w="27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Version</w:t>
            </w:r>
          </w:p>
        </w:tc>
        <w:tc>
          <w:tcPr>
            <w:tcW w:type="dxa" w:w="27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 — March 2026</w:t>
            </w:r>
          </w:p>
        </w:tc>
      </w:tr>
      <w:tr>
        <w:tc>
          <w:tcPr>
            <w:tcW w:type="dxa" w:w="27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Project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EcoChain Platform</w:t>
            </w:r>
          </w:p>
        </w:tc>
      </w:tr>
    </w:tbl>
    <w:p>
      <w:pPr>
        <w:spacing w:before="0" w:after="300"/>
      </w:pPr>
    </w:p>
    <w:p>
      <w:pPr>
        <w:pBdr>
          <w:bottom w:val="single" w:color="1A5C38" w:sz="4" w:space="1"/>
        </w:pBdr>
        <w:spacing w:before="100" w:after="100"/>
      </w:pPr>
    </w:p>
    <w:p>
      <w:r>
        <w:br w:type="page"/>
      </w:r>
    </w:p>
    <w:p>
      <w:pPr>
        <w:pStyle w:val="Heading1"/>
        <w:spacing w:before="360" w:after="160"/>
      </w:pPr>
      <w:r>
        <w:rPr>
          <w:rFonts w:ascii="Arial" w:cs="Arial" w:eastAsia="Arial" w:hAnsi="Arial"/>
          <w:b/>
          <w:bCs/>
          <w:i w:val="false"/>
          <w:iCs w:val="false"/>
          <w:color w:val="1A5C38"/>
          <w:sz w:val="34"/>
          <w:szCs w:val="34"/>
        </w:rPr>
        <w:t xml:space="preserve">1. Database Overview</w:t>
      </w:r>
    </w:p>
    <w:p>
      <w:pPr>
        <w:pBdr>
          <w:bottom w:val="single" w:color="2E7D52" w:sz="4" w:space="1"/>
        </w:pBdr>
        <w:spacing w:before="100" w:after="100"/>
      </w:pPr>
    </w:p>
    <w:p>
      <w:pPr>
        <w:spacing w:before="0" w:after="100"/>
      </w:pPr>
    </w:p>
    <w:p>
      <w:pPr>
        <w:spacing w:before="60" w:after="60"/>
      </w:pPr>
      <w:r>
        <w:rPr>
          <w:rFonts w:ascii="Arial" w:cs="Arial" w:eastAsia="Arial" w:hAnsi="Arial"/>
          <w:b w:val="false"/>
          <w:bCs w:val="false"/>
          <w:i w:val="false"/>
          <w:iCs w:val="false"/>
          <w:color w:val="2C3E50"/>
          <w:sz w:val="20"/>
          <w:szCs w:val="20"/>
        </w:rPr>
        <w:t xml:space="preserve">EcoChain uses MongoDB Atlas as its primary database with Mongoose as the ODM (Object Document Mapper). The database is organized into 16 collections grouped by domain. All collections use MongoDB ObjectId as the primary key (_id). Timestamps (createdAt, updatedAt) are enabled globally via Mongoose timestamps option.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4460"/>
      </w:tblGrid>
      <w:tr>
        <w:trPr>
          <w:tblHeader/>
        </w:trPr>
        <w:tc>
          <w:tcPr>
            <w:tcW w:type="dxa" w:w="5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w:t>
            </w:r>
          </w:p>
        </w:tc>
        <w:tc>
          <w:tcPr>
            <w:tcW w:type="dxa" w:w="22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Collection</w:t>
            </w:r>
          </w:p>
        </w:tc>
        <w:tc>
          <w:tcPr>
            <w:tcW w:type="dxa" w:w="22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Domain</w:t>
            </w:r>
          </w:p>
        </w:tc>
        <w:tc>
          <w:tcPr>
            <w:tcW w:type="dxa" w:w="446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Auth &amp; Identity</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All platform users: Admin, Govt, Auditor, Industry</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2</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industries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Industry</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Industry company profiles and registration data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auditors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Auditor</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Auditor profiles, certifications, and assignments</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governments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Government</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Government official profiles and departments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emission_submissions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Emissions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Industry emission data submissions per period</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6</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emission_baselines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Emissions</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AI-calculated emission baselines per industry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anomaly_reports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AI / ML</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AI anomaly detection results per submission</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8</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audit_reports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Audit</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Auditor verification decisions and signed reports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carbon_credits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Blockchain</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Carbon credit token records (minted, traded, retired)</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10</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transactions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Blockchain</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All credit buy/sell/retire/mint transactions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marketplace_listings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Marketplace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Active carbon credit listings for sale</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12</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penalties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Compliance</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Industry penalty records for exceeded baselines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policies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Government</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Government policies and emission regulations</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14</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notifications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System</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All system notifications across roles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activity_logs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Platform-wide audit trail of all user actions</w:t>
            </w:r>
          </w:p>
        </w:tc>
      </w:tr>
      <w:tr>
        <w:tc>
          <w:tcPr>
            <w:tcW w:type="dxa" w:w="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2C3E50"/>
                <w:sz w:val="19"/>
                <w:szCs w:val="19"/>
              </w:rPr>
              <w:t xml:space="preserve">16</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emission_factors</w:t>
            </w:r>
          </w:p>
        </w:tc>
        <w:tc>
          <w:tcPr>
            <w:tcW w:type="dxa" w:w="2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Config</w:t>
            </w:r>
          </w:p>
        </w:tc>
        <w:tc>
          <w:tcPr>
            <w:tcW w:type="dxa" w:w="4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CO₂ emission factor values for calculations</w:t>
            </w:r>
          </w:p>
        </w:tc>
      </w:tr>
    </w:tbl>
    <w:p>
      <w:pPr>
        <w:spacing w:before="0" w:after="200"/>
      </w:pPr>
    </w:p>
    <w:p>
      <w:r>
        <w:br w:type="page"/>
      </w:r>
    </w:p>
    <w:p>
      <w:pPr>
        <w:pStyle w:val="Heading1"/>
        <w:spacing w:before="360" w:after="160"/>
      </w:pPr>
      <w:r>
        <w:rPr>
          <w:rFonts w:ascii="Arial" w:cs="Arial" w:eastAsia="Arial" w:hAnsi="Arial"/>
          <w:b/>
          <w:bCs/>
          <w:i w:val="false"/>
          <w:iCs w:val="false"/>
          <w:color w:val="1A5C38"/>
          <w:sz w:val="34"/>
          <w:szCs w:val="34"/>
        </w:rPr>
        <w:t xml:space="preserve">2. Collection Schemas</w:t>
      </w:r>
    </w:p>
    <w:p>
      <w:pPr>
        <w:pBdr>
          <w:bottom w:val="single" w:color="2E7D52" w:sz="4" w:space="1"/>
        </w:pBdr>
        <w:spacing w:before="100" w:after="100"/>
      </w:pP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5C38"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 users</w:t>
            </w:r>
          </w:p>
        </w:tc>
      </w:tr>
      <w:tr>
        <w:tc>
          <w:tcPr>
            <w:tcBorders>
              <w:top w:val="none"/>
              <w:left w:val="none"/>
              <w:bottom w:val="none"/>
              <w:right w:val="none"/>
            </w:tcBorders>
            <w:shd w:fill="F0FAF3"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Stores all platform users: Admin, Government, Auditor, Industry. Single collection with role discriminator.</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auto-generated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email</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Unique email address. Indexed. Lowercase enforced. Used for login.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passwordHash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bcrypt hashed password (salt rounds: 12). Never stored in plaintext.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role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 of: 'admin' | 'government' | 'auditor' | 'industry'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firstName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User first name. Max 100 chars.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lastName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User last name. Max 100 chars.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Contact phone number. E.164 format preferred.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profilePhoto</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profile picture.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'pending'</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 of: 'pending' | 'active' | 'suspended' | 'rejected'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twoFAEnabled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Boolean</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true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Whether 2FA is enabled for this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twoFASecret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Speakeasy TOTP secret. Encrypted at rest.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walletAddress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Ethereum/Polygon wallet address. Set on industry approval.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lastLogin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of most recent successful login.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loginAttempts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Failed login counter. Locks account at 5 attempts.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lockedUntil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Account lock expiry after too many failed logins.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approvedBy</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The admin/govt who approved this 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approvedAt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account was approved.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rejectedReason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Rejection reason if status is 'rejected'.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Date.now()</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Auto-set by Mongoose timestamps option.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Date.now()</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Auto-updated by Mongoose timestamps option.</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Primary login lookup. Ensures no duplicate emails.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role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users by role (admin, govt, auditor, industry).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pending/active/suspended users for verification queues.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approvedBy</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all users approved by a specific admin/govt.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users by registration date.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6E6E"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2.2. industries</w:t>
            </w:r>
          </w:p>
        </w:tc>
      </w:tr>
      <w:tr>
        <w:tc>
          <w:tcPr>
            <w:tcBorders>
              <w:top w:val="none"/>
              <w:left w:val="none"/>
              <w:bottom w:val="none"/>
              <w:right w:val="none"/>
            </w:tcBorders>
            <w:shd w:fill="D0EEEE"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Extended profile for Industry role users. Linked 1:1 to users collection.</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One-to-one link to user 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companyName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Registered company name. Max 200 chars.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registrationNumber</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Official business registration number. Unique.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sector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'manufacturing'|'energy'|'transport'|'agriculture'|'construction'|'mining'|'other'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industryType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Specific industry type within sector. E.g., 'Steel Manufacturing'.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address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street, city, state, country, postalCode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contactPerson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name, email, phone, designation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documents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businessCert: String (URL), taxDoc: String (URL), others: [String]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emissionScopes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['scope1']</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Array of applicable scopes: ['scope1','scope2','scope3']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assignedAuditorId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auditors._id. Currently assigned auditor.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complianceStatus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'pending'</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'pending'|'compliant'|'non_compliant'|'under_review'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walletBalance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Current carbon credit token balance (mirrors on-chain).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totalCreditsMinted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Cumulative credits minted over all periods.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totalCreditsRetired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Cumulative credits retired over all periods.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verifiedByGovtId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governments._id. Govt official who approved.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verifiedAt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of government verification.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One-to-one with users. Lookup industry by userId.</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registrationNumber</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Ensure no duplicate company registrations.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industries by sector for analytics.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complianceStatus</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compliant/non-compliant for government portal.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assignedAuditorId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all industries assigned to a specific auditor.</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verifiedByGovtId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all industries verified by a specific govt official.</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E7D52"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2.3. auditors</w:t>
            </w:r>
          </w:p>
        </w:tc>
      </w:tr>
      <w:tr>
        <w:tc>
          <w:tcPr>
            <w:tcBorders>
              <w:top w:val="none"/>
              <w:left w:val="none"/>
              <w:bottom w:val="none"/>
              <w:right w:val="none"/>
            </w:tcBorders>
            <w:shd w:fill="D4EDDA"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Extended profile for Auditor role users. Stores certifications and assignment history.</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One-to-one link to user 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organization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Auditor's employer or firm name.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designation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Job title. E.g., 'Senior Environmental Auditor'.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specialization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Array: ['environmental','carbon','esg','ghg_protocol']</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experienceYears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Years of professional experience. Min: 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certifications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name, issuedBy, issueDate, expiryDate, docUrl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licenseDocUrl</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professional license document.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idDocUrl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identity proof document.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assignedIndustries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Array of refs: industries._id. Current assignments.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totalAuditsCompleted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Cumulative completed audits count.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approvalRate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Percentage of submitted reports approved. 0-100.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avgTurnaroundDays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Average days to complete an audit.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certExpiryDate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Primary certification expiry. Used for renewal reminders.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verifiedByGovtId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governments._id. Govt official who approved.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verifiedAt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of government verification.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One-to-one with users collection.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assignedIndustries</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auditor by assigned industry 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certExpiryDate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Query auditors with upcoming certification expiry.</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specialization</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auditors by specialization type.</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C6E"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2.4. governments</w:t>
            </w:r>
          </w:p>
        </w:tc>
      </w:tr>
      <w:tr>
        <w:tc>
          <w:tcPr>
            <w:tcBorders>
              <w:top w:val="none"/>
              <w:left w:val="none"/>
              <w:bottom w:val="none"/>
              <w:right w:val="none"/>
            </w:tcBorders>
            <w:shd w:fill="D6E4F0"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Extended profile for Government role users. Stores official credentials and department info.</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One-to-one link to user 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department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Government department name. E.g., 'Ministry of Environment'.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designation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Official title. E.g., 'Director of Carbon Compliance'.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ministryOrBody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Regulatory body name. E.g., 'EPA', 'CPCB'.</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region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Geographic jurisdiction: country, state, or region.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officialIdUrl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government-issued ID.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appointmentLetterUrl</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official appointment letter.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govtEmailVerified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false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True after OTP verification of official govt email.</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verifiedByAdminId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(admin). Admin who approved 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verifiedAt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of admin verification.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One-to-one with users collection.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region</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government officials by jurisdiction/region.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verifiedByAdminId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all govt accounts approved by specific admin.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D35400"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2.5. emission_submissions</w:t>
            </w:r>
          </w:p>
        </w:tc>
      </w:tr>
      <w:tr>
        <w:tc>
          <w:tcPr>
            <w:tcBorders>
              <w:top w:val="none"/>
              <w:left w:val="none"/>
              <w:bottom w:val="none"/>
              <w:right w:val="none"/>
            </w:tcBorders>
            <w:shd w:fill="FDEBD0"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Core collection. Stores all industry emission data submissions per reporting period.</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Which industry submitted.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submittedBy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User account of submitter.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reportingPeriod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year: Number, quarter: 'Q1'|'Q2'|'Q3'|'Q4'|'annual'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fuelConsumption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fuelType, quantity, unit, co2Factor, calculatedCO2e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electricityUsage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kWh: Number, sourceType: 'grid'|'renewable', calculatedCO2e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productionDetails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outputVolume: Number, unit, processType, additionalNotes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otherSources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sourceType, description, quantity, unit, calculatedCO2e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scope1CO2e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Total Scope 1 direct emissions in tCO₂e.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scope2CO2e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Total Scope 2 indirect (electricity) emissions in tCO₂e.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scope3CO2e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Total Scope 3 value chain emissions in tCO₂e.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totalCO2e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0</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Sum of Scope 1+2+3. Primary metric for compliance.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supportingDocs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Array of Cloudinary URLs (invoices, meter readings, etc.)</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'draft'</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'draft'|'submitted'|'ai_checking'|'ai_flagged'|'pending_audit'|'under_review'|'approved'|'rejected'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aiAnomalyReportId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anomaly_reports._id. Linked AI check result.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auditReportId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audit_reports._id. Linked auditor decision.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baselineId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emission_baselines._id. Applicable baseline.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reductionAmount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tCO₂e below baseline (positive=credit, negative=penalty).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submissionVersion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1</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Increments on each resubmission. Tracks correction history.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previousSubmissionId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emission_submissions._id. Previous version if resubmission.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submissions for an industry.</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 + reportingPeriod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Compound Unique</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Ensure one submission per industry per period (per version).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status for auditor queue, AI pipeline.</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reportingPeriod.year</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submissions by year for analytics.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submittedBy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submissions by user account.</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createdAt</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submissions by date.</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E7D52"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2.6. emission_baselines</w:t>
            </w:r>
          </w:p>
        </w:tc>
      </w:tr>
      <w:tr>
        <w:tc>
          <w:tcPr>
            <w:tcBorders>
              <w:top w:val="none"/>
              <w:left w:val="none"/>
              <w:bottom w:val="none"/>
              <w:right w:val="none"/>
            </w:tcBorders>
            <w:shd w:fill="D4EDDA"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AI-calculated emission baselines per industry. Updated each reporting cycle.</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Which industry this baseline is for.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reportingPeriod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year: Number, quarter: String } — period this baseline applies to.</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baselineValue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Expected emission level in tCO₂e. Calculated by AI regression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confidenceLow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Lower bound of confidence interval (tCO₂e).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confidenceHigh</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Upper bound of confidence interval (tCO₂e).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calculationMethod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'linear_regression'|'polynomial'|'moving_average'|'sector_benchmark'</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trainingDataPoints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Number of historical submissions used to train this baseline.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sectorBenchmark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Industry sector average (tCO₂e) at time of calculation.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modelVersion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AI model version that generated this baseline. E.g., 'v1.2'.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calculatedAt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When the AI service calculated this baseline.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 + reportingPeriod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Compound 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 baseline per industry per period.</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baselines for an industry (trend history).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reportingPeriod.year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baselines by year.</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C3483"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2.7. anomaly_reports</w:t>
            </w:r>
          </w:p>
        </w:tc>
      </w:tr>
      <w:tr>
        <w:tc>
          <w:tcPr>
            <w:tcBorders>
              <w:top w:val="none"/>
              <w:left w:val="none"/>
              <w:bottom w:val="none"/>
              <w:right w:val="none"/>
            </w:tcBorders>
            <w:shd w:fill="E8DAEF"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AI anomaly detection results. One record per submission AI check run.</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submissionId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emission_submissions._id. The checked submission.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Denormalized for faster queries.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riskScore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0-100 anomaly risk score. &gt;70=High, 30-70=Medium, &lt;30=Low.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riskLevel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'low'|'medium'|'high'</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isFlagged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Boolean</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True if risk score exceeds threshold requiring resubmission.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anomalyDetails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field, detectedValue, expectedRange, deviation, explanation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modelUsed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ML model name. E.g., 'isolation_forest_v2'.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modelVersion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Specific model version used for this check.</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processingTimeMs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 taken by AI service to process in milliseconds.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recommendation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AI-generated recommendation text for auditor review.</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checkedAt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AI check was completed.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submissionId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 anomaly report per submission.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anomaly history for an industry.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isFlagged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flagged submissions for govt fraud monitor.</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riskLevel</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risk level (high/medium/low).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checkedAt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by most recent AI check.</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2.8. audit_reports</w:t>
            </w:r>
          </w:p>
        </w:tc>
      </w:tr>
      <w:tr>
        <w:tc>
          <w:tcPr>
            <w:tcBorders>
              <w:top w:val="none"/>
              <w:left w:val="none"/>
              <w:bottom w:val="none"/>
              <w:right w:val="none"/>
            </w:tcBorders>
            <w:shd w:fill="FADBD8"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Auditor verification decisions with digital signatures. Pushed to blockchain on approval.</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submissionId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emission_submissions._id. The audited submission.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Denormalized for faster queries.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auditorId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auditors._id. The auditor who reviewed.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auditorUserId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Auditor's user account.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decision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'approved'|'rejected'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remarks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Mandatory auditor remarks. Min 20 chars.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complianceNotes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emissionSource, status: 'compliant'|'non_compliant', note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riskLevel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'low'|'medium'|'high' — auditor-assessed overall risk.</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digitalSignature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PKI digital signature (Base64 encoded).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certificateHash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SHA-256 hash of auditor's PKI certificate.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reportPdfUrl</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generated audit report PDF.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blockchainTxHash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Polygon transaction hash after on-chain storage.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blockchainStatus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'pending'</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'pending'|'submitted'|'confirmed'|'failed'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onChainRecordHash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IPFS/blockchain hash of the stored report.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submittedToChainAt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When the report was pushed to Polygon blockchain.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completedAt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When auditor submitted their decision.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submissionId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 audit report per submission.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auditorId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audits completed by a specific auditor.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audit history for an industry.</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decision</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approved/rejected for analytics.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blockchainTxHash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Sparse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Lookup by blockchain transaction hash.</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completedAt</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by most recent completion.</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5C38"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2.9. carbon_credits</w:t>
            </w:r>
          </w:p>
        </w:tc>
      </w:tr>
      <w:tr>
        <w:tc>
          <w:tcPr>
            <w:tcBorders>
              <w:top w:val="none"/>
              <w:left w:val="none"/>
              <w:bottom w:val="none"/>
              <w:right w:val="none"/>
            </w:tcBorders>
            <w:shd w:fill="F0FAF3"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Carbon credit token records. Mirrors on-chain ERC-20 token state in MongoDB for fast queries.</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tokenId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On-chain ERC-20 token identifier. Unique.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Original issuing industry.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auditReportId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audit_reports._id. The verified report that generated this credit.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submissionId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emission_submissions._id. Source emission data.</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amount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Credit quantity in tCO₂e. Min: 0.001.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reportingPeriod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year, quarter } — period for which credits were earned.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reductionAmount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Actual tCO₂e reduced below baseline (matches credit amount).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'active'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'active'|'listed'|'sold'|'retired'|'pending_mint'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currentOwnerUserId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Current wallet owner.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originalOwnerUserId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Industry that originally earned credits.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mintTxHash</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Polygon tx hash of the minting transaction.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mintedAt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tokens were minted on-chain.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govtApprovalId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Govt official who approved tokenization.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govtApprovedAt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of government tokenization approval.</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expiryDate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Optional: credit expiry date if applicable by regulation.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retiredAt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credit was retired (burned on-chain).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retirementTxHash</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Polygon tx hash of retirement/burn transaction.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retirementReason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Reason for retirement (e.g., 'Offset Scope 2 emissions 2025').</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tokenId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Primary lookup by on-chain token ID.</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credits for an industry.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currentOwnerUserId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wallet contents for a user.</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active/listed/retired credits.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mintTxHash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Sparse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Lookup by blockchain mint transaction.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reportingPeriod.year</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credits by year issued.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expiryDate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Identify expiring credits for notifications.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6E6E"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2.10. transactions</w:t>
            </w:r>
          </w:p>
        </w:tc>
      </w:tr>
      <w:tr>
        <w:tc>
          <w:tcPr>
            <w:tcBorders>
              <w:top w:val="none"/>
              <w:left w:val="none"/>
              <w:bottom w:val="none"/>
              <w:right w:val="none"/>
            </w:tcBorders>
            <w:shd w:fill="D0EEEE"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Immutable ledger of all carbon credit transactions: mint, buy, sell, retire, transfer.</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creditId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carbon_credits._id. The credit involved.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tokenId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On-chain token ID (denormalized for blockchain lookup).</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type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'mint'|'buy'|'sell'|'retire'|'transfer'|'list'|'delist'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fromUserId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Sender/seller. Null for mint transactions.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Receiver/buyer. Null for retirement.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amount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Credit quantity in tCO₂e involved in this transaction.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pricePerCredit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Price in USD per credit at time of trade. Null for mint/retire.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totalValue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Total transaction value (amount × pricePerCredit). USD.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blockchainTxHash</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Polygon blockchain transaction hash.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blockNumber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Polygon block number containing this transaction.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gasUsed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Gas consumed by the blockchain transaction.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contractAddress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Smart contract address that executed the transaction.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'pending'</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'pending'|'confirmed'|'failed'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listingId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marketplace_listings._id. For buy/sell transactions.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notes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Optional notes. E.g., retirement reason.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executedAt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Date.now()</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When the transaction was initiated.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confirmedAt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When blockchain confirmed the transaction.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creditId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transactions for a specific credit token.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tokenId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Blockchain-based lookup by token 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fromUserId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outgoing transactions for a user.</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toUserId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incoming transactions for a user.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transaction type for analytics.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blockchainTxHash</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Sparse Unique</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Ensure no duplicate blockchain transactions.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pending/confirmed/failed for retry logic.</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executedAt</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transactions chronologically.</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E7D52"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2.11. marketplace_listings</w:t>
            </w:r>
          </w:p>
        </w:tc>
      </w:tr>
      <w:tr>
        <w:tc>
          <w:tcPr>
            <w:tcBorders>
              <w:top w:val="none"/>
              <w:left w:val="none"/>
              <w:bottom w:val="none"/>
              <w:right w:val="none"/>
            </w:tcBorders>
            <w:shd w:fill="D4EDDA"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Active carbon credit listings for sale on the marketplace.</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creditId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carbon_credits._id. The credit being listed.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sellerId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Industry user listing the credit.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Seller's industry profile.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amount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Quantity of credits listed for sale (tCO₂e).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pricePerCredit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Asking price per credit in USD. Min: 0.01.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totalAskingPrice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amount × pricePerCredit. Computed and stored.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expiryDate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Listing auto-expires and delists after this date.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'active'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'active'|'sold'|'cancelled'|'expired'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sector</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Denormalized seller sector. For buyer filtering.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reportingPeriod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Denormalized { year, quarter }. For buyer filtering.</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smartContractListingId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On-chain listing ID from CarbonMarketplace.sol.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buyerId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Set when listing is sold.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soldAt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listing was purchased.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transactionId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transactions._id. Trade transaction record.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active listings for marketplace display.</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sellerId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listings by a specific seller.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expiryDate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Identify and auto-expire listings via cron job.</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pricePerCredit</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marketplace by price.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listings by industry sector.</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reportingPeriod.year</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credit vintage year.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smartContractListingId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Sparse Unique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Blockchain listing ID lookup.</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2B21"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2.12. penalties</w:t>
            </w:r>
          </w:p>
        </w:tc>
      </w:tr>
      <w:tr>
        <w:tc>
          <w:tcPr>
            <w:tcBorders>
              <w:top w:val="none"/>
              <w:left w:val="none"/>
              <w:bottom w:val="none"/>
              <w:right w:val="none"/>
            </w:tcBorders>
            <w:shd w:fill="FADBD8"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Penalty records issued to industries that exceeded their emission baseline.</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industryId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industries._id. Penalized industry.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submissionId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emission_submissions._id. The approved submission that triggered penalty.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auditReportId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audit_reports._id. The audit that confirmed excess.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reportingPeriod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year, quarter } — period of violation.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excessAmount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tCO₂e above baseline. Positive value 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penaltyType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'fine'|'mandatory_offset'|'compliance_notice'|'regulatory_review'</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penaltyAmount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Monetary fine in USD. Set by government.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issuedByGovtId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governments._id. Govt official who issued penalty.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paymentStatus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'unpaid'</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'unpaid'|'paid'|'disputed'|'waived'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paymentDueDate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Deadline for fine payment.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paidAt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penalty was paid/resolved.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Additional notes or instructions from regulator.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industryId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penalty history for an industry.</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reportingPeriod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penalties by period.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paymentStatus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unpaid/disputed penalties.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issuedByGovtId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penalties issued by a govt official.</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3C6E"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2.13. policies</w:t>
            </w:r>
          </w:p>
        </w:tc>
      </w:tr>
      <w:tr>
        <w:tc>
          <w:tcPr>
            <w:tcBorders>
              <w:top w:val="none"/>
              <w:left w:val="none"/>
              <w:bottom w:val="none"/>
              <w:right w:val="none"/>
            </w:tcBorders>
            <w:shd w:fill="D6E4F0"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Government emission policies, regulations, and compliance guidelines.</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title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Policy title. Max 300 chars.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Short policy summary. Max 1000 chars.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content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Full policy text (Rich text/HTML from Quill editor).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'emission_limit'|'compliance_guideline'|'penalty_rule'|'credit_policy'|'general'</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applicableSectors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Array of sector names this policy applies to. ['all'] = all sectors.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emissionLimits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sector, limitValue, unit, scope }] — numeric limits per sector.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documentUrl</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Cloudinary URL for uploaded policy PDF document.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'draft'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'draft'|'published'|'archived'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publishedAt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policy was published.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effectiveDate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Date from which policy takes legal effect.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expiryDate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Date policy expires (if applicable).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1</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Policy version number. Increments on edit.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previousVersionId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policies._id. Links to previous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createdByGovtId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governments._id. Who created this policy.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notifyIndustries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Boolean</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false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If true, trigger notification to all applicable industries on publish.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published/draft/archived policies.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type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policy type.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applicableSectors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Find policies applicable to a sector (array index).</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effectiveDate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Sort/filter by when policies take effect.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createdByGovtId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policies created by a govt official.</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title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Text Index</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Full-text search across policy titles and content.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Text Index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Part of compound text index with title.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5C38"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2.14. notifications</w:t>
            </w:r>
          </w:p>
        </w:tc>
      </w:tr>
      <w:tr>
        <w:tc>
          <w:tcPr>
            <w:tcBorders>
              <w:top w:val="none"/>
              <w:left w:val="none"/>
              <w:bottom w:val="none"/>
              <w:right w:val="none"/>
            </w:tcBorders>
            <w:shd w:fill="F0FAF3"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All platform notifications across all user roles.</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recipientId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Notification recipient.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recipientRole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'admin'|'government'|'auditor'|'industry'. Denormalized.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type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'compliance_reminder'|'audit_assignment'|'audit_result'|'anomaly_alert'|'credit_minted'|'credit_sold'|'credit_bought'|'credit_retired'|'policy_update'|'registration_update'|'penalty_issued'|'system_alert'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Short notification title. Max 150 chars.</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message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Full notification message body.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relatedEntityType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e.g., 'submission'|'credit'|'audit_report'|'policy'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relatedEntityId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ID of the related entity for deep-link navigation.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isRead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false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Whether recipient has read the notification.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readAt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notification was marked read.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deliveryChannels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['in_app']</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Array: ['in_app','email','push']. What channels used.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emailStatus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'pending'</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'pending'|'sent'|'failed'. Email delivery status.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emailSentAt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Timestamp when email was sent via Nodemailer.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sentByUserId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Who sent (null = system generated).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scheduledFor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If scheduled, when to send. Null = immediate.</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recipientId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notifications for a user (inbox).</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recipientId + isRead</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Compound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unread notification count for a user (badge).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notifications by type.</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recipientRole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Broadcast to all users of a role.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scheduledFor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Sparse 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Cron job picks up scheduled notifications.</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createdAt</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notifications newest first.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emailStatus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Retry failed email deliveries.</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D35400"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2.15. activity_logs</w:t>
            </w:r>
          </w:p>
        </w:tc>
      </w:tr>
      <w:tr>
        <w:tc>
          <w:tcPr>
            <w:tcBorders>
              <w:top w:val="none"/>
              <w:left w:val="none"/>
              <w:bottom w:val="none"/>
              <w:right w:val="none"/>
            </w:tcBorders>
            <w:shd w:fill="FDEBD0"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Complete platform audit trail. Every significant user action is logged immutably.</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Who performed the 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Denormalized role at time of action.</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action</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'login'|'logout'|'register'|'submit_emission'|'approve_submission'|'reject_submission'|'mint_credit'|'buy_credit'|'sell_credit'|'retire_credit'|'approve_user'|'reject_user'|'create_policy'|'update_settings'|'flag_anomaly'|...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entityType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Type of entity acted on. E.g., 'submission', 'user', 'policy'.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entityId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ID of the entity acted 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detail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Additional context. E.g., { from: 'pending', to: 'approved' }.</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ipAddress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Client IP address. Used for security monitoring.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userAgent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Browser/client user agent string.</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status</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'success'</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'success'|'failed'|'suspicious'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Date.now()</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Exact action timestamp. Not using createdAt.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 (TTL index on this field).</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actions by a user.</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action</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by action type.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userRole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logs by user role.</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status</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suspicious/failed actions for security alerts.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ipAddress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Detect multiple failed logins from same IP.</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timestamp</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 (desc)</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Sort logs chronologically.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entityId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actions on a specific entity.</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createdAt</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TTL (90 days)</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Auto-delete logs older than 90 days for free tier storage.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C3483" w:val="clear"/>
            <w:tcMar>
              <w:top w:type="dxa" w:w="100"/>
              <w:left w:type="dxa" w:w="200"/>
              <w:bottom w:type="dxa" w:w="100"/>
              <w:right w:type="dxa" w:w="200"/>
            </w:tcMar>
          </w:tcPr>
          <w:p>
            <w:r>
              <w:rPr>
                <w:rFonts w:ascii="Arial" w:cs="Arial" w:eastAsia="Arial" w:hAnsi="Arial"/>
                <w:b/>
                <w:bCs/>
                <w:i w:val="false"/>
                <w:iCs w:val="false"/>
                <w:color w:val="FFFFFF"/>
                <w:sz w:val="26"/>
                <w:szCs w:val="26"/>
              </w:rPr>
              <w:t xml:space="preserve">2.16. emission_factors</w:t>
            </w:r>
          </w:p>
        </w:tc>
      </w:tr>
      <w:tr>
        <w:tc>
          <w:tcPr>
            <w:tcBorders>
              <w:top w:val="none"/>
              <w:left w:val="none"/>
              <w:bottom w:val="none"/>
              <w:right w:val="none"/>
            </w:tcBorders>
            <w:shd w:fill="E8DAEF" w:val="clear"/>
            <w:tcMar>
              <w:top w:type="dxa" w:w="80"/>
              <w:left w:type="dxa" w:w="200"/>
              <w:bottom w:type="dxa" w:w="80"/>
              <w:right w:type="dxa" w:w="200"/>
            </w:tcMar>
          </w:tcPr>
          <w:p>
            <w:r>
              <w:rPr>
                <w:rFonts w:ascii="Arial" w:cs="Arial" w:eastAsia="Arial" w:hAnsi="Arial"/>
                <w:b w:val="false"/>
                <w:bCs w:val="false"/>
                <w:i/>
                <w:iCs/>
                <w:color w:val="2C3E50"/>
                <w:sz w:val="19"/>
                <w:szCs w:val="19"/>
              </w:rPr>
              <w:t xml:space="preserve">CO₂ emission factor database used by the Emission Calculator. Managed by Admin.</w:t>
            </w:r>
          </w:p>
        </w:tc>
      </w:tr>
    </w:tbl>
    <w:p>
      <w:pPr>
        <w:spacing w:before="0" w:after="100"/>
      </w:pPr>
    </w:p>
    <w:p>
      <w:pPr>
        <w:spacing w:before="200" w:after="80"/>
      </w:pPr>
      <w:r>
        <w:rPr>
          <w:rFonts w:ascii="Arial" w:cs="Arial" w:eastAsia="Arial" w:hAnsi="Arial"/>
          <w:b/>
          <w:bCs/>
          <w:i w:val="false"/>
          <w:iCs w:val="false"/>
          <w:color w:val="0D6E6E"/>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1200"/>
        <w:gridCol w:w="3660"/>
      </w:tblGrid>
      <w:tr>
        <w:trPr>
          <w:tblHeader/>
        </w:trPr>
        <w:tc>
          <w:tcPr>
            <w:tcW w:type="dxa" w:w="20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 Name</w:t>
            </w:r>
          </w:p>
        </w:tc>
        <w:tc>
          <w:tcPr>
            <w:tcW w:type="dxa" w:w="16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9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Required</w:t>
            </w:r>
          </w:p>
        </w:tc>
        <w:tc>
          <w:tcPr>
            <w:tcW w:type="dxa" w:w="1200"/>
            <w:tcBorders>
              <w:top w:val="single" w:color="888888" w:sz="1"/>
              <w:left w:val="single" w:color="888888" w:sz="1"/>
              <w:bottom w:val="single" w:color="888888" w:sz="1"/>
              <w:right w:val="single" w:color="888888" w:sz="1"/>
            </w:tcBorders>
            <w:shd w:fill="78421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Default</w:t>
            </w:r>
          </w:p>
        </w:tc>
        <w:tc>
          <w:tcPr>
            <w:tcW w:type="dxa" w:w="3660"/>
            <w:tcBorders>
              <w:top w:val="single" w:color="888888" w:sz="1"/>
              <w:left w:val="single" w:color="888888" w:sz="1"/>
              <w:bottom w:val="single" w:color="888888" w:sz="1"/>
              <w:right w:val="single" w:color="888888" w:sz="1"/>
            </w:tcBorders>
            <w:shd w:fill="2E7D52"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Description / Validation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MongoDB primary key.</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name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Factor name. E.g., 'Diesel', 'Natural Gas', 'Grid Electricity'.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'fuel'|'electricity'|'process'|'transport'|'waste'|'refrigerant'</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fuelType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Specific fuel. E.g., 'diesel','lpg','coal','natural_gas'.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factorValue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CO₂e emitted per unit. E.g., 2.68 (kgCO₂e per litre diesel).</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unit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Denominator unit. E.g., 'per_litre'|'per_kwh'|'per_kg'|'per_tonne'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scope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 (enum)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'scope1'|'scope2'|'scope3'</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sourceReference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Data source. E.g., 'IPCC AR6 2021', 'IEA 2023', 'GHG Protocol'.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countryCode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'global'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ISO 3166-1 alpha-2 country code. 'global' if universal.</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effectiveDate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Date from which this factor value is valid.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expiryDate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Date after which a newer version supersedes this factor.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isActive</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Boolean</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true</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False if superseded by a newer version.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1</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Version number. Increments when value is updated.</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previousFactorId</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null</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emission_factors._id. Previous version of this factor.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updatedByAdminId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ObjectId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922B21"/>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Ref: users._id. Admin who last updated this factor.</w:t>
            </w:r>
          </w:p>
        </w:tc>
      </w:tr>
      <w:tr>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createdAt</w:t>
            </w:r>
          </w:p>
        </w:tc>
        <w:tc>
          <w:tcPr>
            <w:tcW w:type="dxa" w:w="16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566573"/>
                <w:sz w:val="19"/>
                <w:szCs w:val="19"/>
              </w:rPr>
              <w:t xml:space="preserve">Auto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D35400"/>
                <w:sz w:val="19"/>
                <w:szCs w:val="19"/>
              </w:rPr>
              <w:t xml:space="preserve">auto</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Mongoose timestamps.</w:t>
            </w:r>
          </w:p>
        </w:tc>
      </w:tr>
    </w:tbl>
    <w:p>
      <w:pPr>
        <w:spacing w:before="0" w:after="100"/>
      </w:pPr>
    </w:p>
    <w:p>
      <w:pPr>
        <w:spacing w:before="200" w:after="80"/>
      </w:pPr>
      <w:r>
        <w:rPr>
          <w:rFonts w:ascii="Arial" w:cs="Arial" w:eastAsia="Arial" w:hAnsi="Arial"/>
          <w:b/>
          <w:bCs/>
          <w:i w:val="false"/>
          <w:iCs w:val="false"/>
          <w:color w:val="0D6E6E"/>
          <w:sz w:val="22"/>
          <w:szCs w:val="22"/>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Index Field(s)</w:t>
            </w:r>
          </w:p>
        </w:tc>
        <w:tc>
          <w:tcPr>
            <w:tcW w:type="dxa" w:w="180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Type</w:t>
            </w:r>
          </w:p>
        </w:tc>
        <w:tc>
          <w:tcPr>
            <w:tcW w:type="dxa" w:w="4760"/>
            <w:tcBorders>
              <w:top w:val="single" w:color="888888" w:sz="1"/>
              <w:left w:val="single" w:color="888888" w:sz="1"/>
              <w:bottom w:val="single" w:color="888888" w:sz="1"/>
              <w:right w:val="single" w:color="888888" w:sz="1"/>
            </w:tcBorders>
            <w:shd w:fill="6C3483"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category + isActive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Compound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Get all active factors by category for calculation.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fuelType + isActive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Compound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Lookup specific fuel factor.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countryCode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Filter factors by country/region.</w:t>
            </w:r>
          </w:p>
        </w:tc>
      </w:tr>
      <w:tr>
        <w:tc>
          <w:tcPr>
            <w:tcW w:type="dxa" w:w="2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effectiveDate</w:t>
            </w:r>
          </w:p>
        </w:tc>
        <w:tc>
          <w:tcPr>
            <w:tcW w:type="dxa" w:w="180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Standard</w:t>
            </w:r>
          </w:p>
        </w:tc>
        <w:tc>
          <w:tcPr>
            <w:tcW w:type="dxa" w:w="4760"/>
            <w:tcBorders>
              <w:top w:val="single" w:color="CCCCCC" w:sz="1"/>
              <w:left w:val="single" w:color="CCCCCC" w:sz="1"/>
              <w:bottom w:val="single" w:color="CCCCCC" w:sz="1"/>
              <w:right w:val="single" w:color="CCCCCC" w:sz="1"/>
            </w:tcBorders>
            <w:shd w:fill="E8DAE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Apply correct factor for submission date.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6C3483"/>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0D6E6E"/>
                <w:sz w:val="19"/>
                <w:szCs w:val="19"/>
              </w:rPr>
              <w:t xml:space="preserve">Text Index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Search emission factors by name in admin panel.</w:t>
            </w:r>
          </w:p>
        </w:tc>
      </w:tr>
    </w:tbl>
    <w:p>
      <w:pPr>
        <w:spacing w:before="0" w:after="200"/>
      </w:pPr>
    </w:p>
    <w:p>
      <w:r>
        <w:br w:type="page"/>
      </w:r>
    </w:p>
    <w:p>
      <w:pPr>
        <w:pStyle w:val="Heading1"/>
        <w:spacing w:before="360" w:after="160"/>
      </w:pPr>
      <w:r>
        <w:rPr>
          <w:rFonts w:ascii="Arial" w:cs="Arial" w:eastAsia="Arial" w:hAnsi="Arial"/>
          <w:b/>
          <w:bCs/>
          <w:i w:val="false"/>
          <w:iCs w:val="false"/>
          <w:color w:val="1A5C38"/>
          <w:sz w:val="34"/>
          <w:szCs w:val="34"/>
        </w:rPr>
        <w:t xml:space="preserve">3. Collection Relationships</w:t>
      </w:r>
    </w:p>
    <w:p>
      <w:pPr>
        <w:pBdr>
          <w:bottom w:val="single" w:color="2E7D52" w:sz="4" w:space="1"/>
        </w:pBdr>
        <w:spacing w:before="100" w:after="100"/>
      </w:pPr>
    </w:p>
    <w:p>
      <w:pPr>
        <w:spacing w:before="0" w:after="100"/>
      </w:pPr>
    </w:p>
    <w:p>
      <w:pPr>
        <w:spacing w:before="60" w:after="60"/>
      </w:pPr>
      <w:r>
        <w:rPr>
          <w:rFonts w:ascii="Arial" w:cs="Arial" w:eastAsia="Arial" w:hAnsi="Arial"/>
          <w:b w:val="false"/>
          <w:bCs w:val="false"/>
          <w:i w:val="false"/>
          <w:iCs w:val="false"/>
          <w:color w:val="2C3E50"/>
          <w:sz w:val="20"/>
          <w:szCs w:val="20"/>
        </w:rPr>
        <w:t xml:space="preserve">The following table shows all foreign key references (ObjectId refs) between collections: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888888" w:sz="1"/>
              <w:left w:val="single" w:color="888888" w:sz="1"/>
              <w:bottom w:val="single" w:color="888888" w:sz="1"/>
              <w:right w:val="single" w:color="888888" w:sz="1"/>
            </w:tcBorders>
            <w:shd w:fill="D35400"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Collection</w:t>
            </w:r>
          </w:p>
        </w:tc>
        <w:tc>
          <w:tcPr>
            <w:tcW w:type="dxa" w:w="1600"/>
            <w:tcBorders>
              <w:top w:val="single" w:color="888888" w:sz="1"/>
              <w:left w:val="single" w:color="888888" w:sz="1"/>
              <w:bottom w:val="single" w:color="888888" w:sz="1"/>
              <w:right w:val="single" w:color="888888" w:sz="1"/>
            </w:tcBorders>
            <w:shd w:fill="D35400"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w:t>
            </w:r>
          </w:p>
        </w:tc>
        <w:tc>
          <w:tcPr>
            <w:tcW w:type="dxa" w:w="2000"/>
            <w:tcBorders>
              <w:top w:val="single" w:color="888888" w:sz="1"/>
              <w:left w:val="single" w:color="888888" w:sz="1"/>
              <w:bottom w:val="single" w:color="888888" w:sz="1"/>
              <w:right w:val="single" w:color="888888" w:sz="1"/>
            </w:tcBorders>
            <w:shd w:fill="D35400"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References</w:t>
            </w:r>
          </w:p>
        </w:tc>
        <w:tc>
          <w:tcPr>
            <w:tcW w:type="dxa" w:w="3560"/>
            <w:tcBorders>
              <w:top w:val="single" w:color="888888" w:sz="1"/>
              <w:left w:val="single" w:color="888888" w:sz="1"/>
              <w:bottom w:val="single" w:color="888888" w:sz="1"/>
              <w:right w:val="single" w:color="888888" w:sz="1"/>
            </w:tcBorders>
            <w:shd w:fill="D35400"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Relationship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industries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userId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Each industry has one user account</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auditors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userId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Each auditor has one user account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governments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userId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Each govt official has one user account</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industries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assignedAuditorId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auditors._id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Multiple industries can be assigned to one auditor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industries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verifiedByGovtId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governments._id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Govt official verifies multiple industries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auditors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verifiedByGovtId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governments._id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Govt official verifies multiple auditors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approvedBy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Admin/Govt approves multiple users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emission_submissions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industryId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industries._id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Industry submits many emission reports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emission_submissions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submittedBy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submits multiple submissions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emission_submissions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baselineId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emission_baselines._id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Baseline applied to submissions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emission_submissions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aiAnomalyReportId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anomaly_reports._id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One AI report per submission</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emission_submissions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auditReportId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audit_reports._id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One audit report per submission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emission_baselines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industryId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industries._id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Industry has many period baselines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anomaly_reports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submissionId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emission_submissions._id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One anomaly report per submission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anomaly_reports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industryId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industries._id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Denormalized for fast queries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audit_reports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submissionId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emission_submissions._id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One audit report per submission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audit_reports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auditorId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auditors._id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Auditor completes many audits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carbon_credits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industryId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industries._id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Industry earns many credits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carbon_credits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auditReportId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audit_reports._id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One audit generates one set of credits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carbon_credits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currentOwnerUserId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owns many credits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carbon_credits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govtApprovalId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Govt approves many tokenizations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transactions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creditId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carbon_credits._id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Many transactions per credit token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transactions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fromUserId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initiates many transactions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transactions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toUserId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receives many transactions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transactions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listingId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marketplace_listings._id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Trade transaction links to listing</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marketplace_listings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creditId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carbon_credits._id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Credit can be listed multiple times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marketplace_listings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sellerId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creates many listings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marketplace_listings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buyerId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buys many listings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penalties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industryId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industries._id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Industry receives many penalties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penalties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submissionId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emission_submissions._id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1:1 — One submission generates at most one penalty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penalties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issuedByGovtId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governments._id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Govt issues many penalties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policies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createdByGovtId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governments._id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Govt creates many policies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notifications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recipientId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receives many notifications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notifications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sentByUserId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sends many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activity_logs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userId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User generates many log entries</w:t>
            </w:r>
          </w:p>
        </w:tc>
      </w:tr>
      <w:tr>
        <w:tc>
          <w:tcPr>
            <w:tcW w:type="dxa" w:w="22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bCs/>
                <w:i w:val="false"/>
                <w:iCs w:val="false"/>
                <w:color w:val="D35400"/>
                <w:sz w:val="19"/>
                <w:szCs w:val="19"/>
              </w:rPr>
              <w:t xml:space="preserve">emission_factors</w:t>
            </w:r>
          </w:p>
        </w:tc>
        <w:tc>
          <w:tcPr>
            <w:tcW w:type="dxa" w:w="16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1A3C6E"/>
                <w:sz w:val="19"/>
                <w:szCs w:val="19"/>
              </w:rPr>
              <w:t xml:space="preserve">updatedByAdminId</w:t>
            </w:r>
          </w:p>
        </w:tc>
        <w:tc>
          <w:tcPr>
            <w:tcW w:type="dxa" w:w="200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E7D52"/>
                <w:sz w:val="19"/>
                <w:szCs w:val="19"/>
              </w:rPr>
              <w:t xml:space="preserve">users._id</w:t>
            </w:r>
          </w:p>
        </w:tc>
        <w:tc>
          <w:tcPr>
            <w:tcW w:type="dxa" w:w="35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Many:1 — Admin updates many factors</w:t>
            </w:r>
          </w:p>
        </w:tc>
      </w:tr>
    </w:tbl>
    <w:p>
      <w:pPr>
        <w:spacing w:before="0" w:after="200"/>
      </w:pPr>
    </w:p>
    <w:p>
      <w:r>
        <w:br w:type="page"/>
      </w:r>
    </w:p>
    <w:p>
      <w:pPr>
        <w:pStyle w:val="Heading1"/>
        <w:spacing w:before="360" w:after="160"/>
      </w:pPr>
      <w:r>
        <w:rPr>
          <w:rFonts w:ascii="Arial" w:cs="Arial" w:eastAsia="Arial" w:hAnsi="Arial"/>
          <w:b/>
          <w:bCs/>
          <w:i w:val="false"/>
          <w:iCs w:val="false"/>
          <w:color w:val="1A5C38"/>
          <w:sz w:val="34"/>
          <w:szCs w:val="34"/>
        </w:rPr>
        <w:t xml:space="preserve">4. Mongoose Schema Patterns</w:t>
      </w:r>
    </w:p>
    <w:p>
      <w:pPr>
        <w:pBdr>
          <w:bottom w:val="single" w:color="2E7D52" w:sz="4" w:space="1"/>
        </w:pBdr>
        <w:spacing w:before="100" w:after="100"/>
      </w:pPr>
    </w:p>
    <w:p>
      <w:pPr>
        <w:spacing w:before="0" w:after="100"/>
      </w:pPr>
    </w:p>
    <w:p>
      <w:pPr>
        <w:pStyle w:val="Heading2"/>
        <w:spacing w:before="260" w:after="120"/>
      </w:pPr>
      <w:r>
        <w:rPr>
          <w:rFonts w:ascii="Arial" w:cs="Arial" w:eastAsia="Arial" w:hAnsi="Arial"/>
          <w:b/>
          <w:bCs/>
          <w:i w:val="false"/>
          <w:iCs w:val="false"/>
          <w:color w:val="2E7D52"/>
          <w:sz w:val="26"/>
          <w:szCs w:val="26"/>
        </w:rPr>
        <w:t xml:space="preserve">4.1 Base Schema Options (Applied to All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Option</w:t>
            </w:r>
          </w:p>
        </w:tc>
        <w:tc>
          <w:tcPr>
            <w:tcW w:type="dxa" w:w="624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Value &amp; Purpose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timestamps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true — Auto-manages createdAt and updatedAt on every document.</w:t>
            </w:r>
          </w:p>
        </w:tc>
      </w:tr>
      <w:tr>
        <w:tc>
          <w:tcPr>
            <w:tcW w:type="dxa" w:w="312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toJSON: { virtuals: true }</w:t>
            </w:r>
          </w:p>
        </w:tc>
        <w:tc>
          <w:tcPr>
            <w:tcW w:type="dxa" w:w="624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Include virtual fields when converting to JSON response.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toObject: { virtuals: true }</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Include virtual fields when converting to plain object.</w:t>
            </w:r>
          </w:p>
        </w:tc>
      </w:tr>
      <w:tr>
        <w:tc>
          <w:tcPr>
            <w:tcW w:type="dxa" w:w="312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strict: true</w:t>
            </w:r>
          </w:p>
        </w:tc>
        <w:tc>
          <w:tcPr>
            <w:tcW w:type="dxa" w:w="624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Reject any fields not defined in the schema.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versionKey: false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Disable __v field to keep documents clean.</w:t>
            </w:r>
          </w:p>
        </w:tc>
      </w:tr>
    </w:tbl>
    <w:p>
      <w:pPr>
        <w:spacing w:before="0" w:after="200"/>
      </w:pPr>
    </w:p>
    <w:p>
      <w:pPr>
        <w:pStyle w:val="Heading2"/>
        <w:spacing w:before="260" w:after="120"/>
      </w:pPr>
      <w:r>
        <w:rPr>
          <w:rFonts w:ascii="Arial" w:cs="Arial" w:eastAsia="Arial" w:hAnsi="Arial"/>
          <w:b/>
          <w:bCs/>
          <w:i w:val="false"/>
          <w:iCs w:val="false"/>
          <w:color w:val="2E7D52"/>
          <w:sz w:val="26"/>
          <w:szCs w:val="26"/>
        </w:rPr>
        <w:t xml:space="preserve">4.2 Embedded Sub-Documents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Collection</w:t>
            </w:r>
          </w:p>
        </w:tc>
        <w:tc>
          <w:tcPr>
            <w:tcW w:type="dxa" w:w="25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Field</w:t>
            </w:r>
          </w:p>
        </w:tc>
        <w:tc>
          <w:tcPr>
            <w:tcW w:type="dxa" w:w="436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Embedded Structure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industries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address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street: String, city: String, state: String, country: String, postalCode: String }</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industries</w:t>
            </w:r>
          </w:p>
        </w:tc>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contactPerson</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name: String, email: String, phone: String, designation: String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industries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documents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businessCert: String(URL), taxDoc: String(URL), others: [String] }</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auditors</w:t>
            </w:r>
          </w:p>
        </w:tc>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certifications[n]</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name, issuedBy, issueDate: Date, expiryDate: Date, docUrl: String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emission_submissions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fuelConsumption[n]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fuelType, quantity: Number, unit, co2Factor: Number, calculatedCO2e: Number }</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emission_submissions</w:t>
            </w:r>
          </w:p>
        </w:tc>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electricityUsage</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kWh: Number, sourceType: 'grid'|'renewable', calculatedCO2e: Number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emission_submissions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reportingPeriod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year: Number (min:2020), quarter: 'Q1'|'Q2'|'Q3'|'Q4'|'annual' }</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anomaly_reports</w:t>
            </w:r>
          </w:p>
        </w:tc>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anomalyDetails[n]</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field, detectedValue, expectedRange: {low,high}, deviation: Number, explanation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audit_reports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complianceNotes[n]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emissionSource, status: 'compliant'|'non_compliant', note: String }</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policies</w:t>
            </w:r>
          </w:p>
        </w:tc>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0D6E6E"/>
                <w:sz w:val="19"/>
                <w:szCs w:val="19"/>
              </w:rPr>
              <w:t xml:space="preserve">emissionLimits[n]</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 sector, limitValue: Number, unit: String, scope: 'scope1'|'scope2'|'scope3' }</w:t>
            </w:r>
          </w:p>
        </w:tc>
      </w:tr>
    </w:tbl>
    <w:p>
      <w:pPr>
        <w:spacing w:before="0" w:after="200"/>
      </w:pPr>
    </w:p>
    <w:p>
      <w:r>
        <w:br w:type="page"/>
      </w:r>
    </w:p>
    <w:p>
      <w:pPr>
        <w:pStyle w:val="Heading1"/>
        <w:spacing w:before="360" w:after="160"/>
      </w:pPr>
      <w:r>
        <w:rPr>
          <w:rFonts w:ascii="Arial" w:cs="Arial" w:eastAsia="Arial" w:hAnsi="Arial"/>
          <w:b/>
          <w:bCs/>
          <w:i w:val="false"/>
          <w:iCs w:val="false"/>
          <w:color w:val="1A5C38"/>
          <w:sz w:val="34"/>
          <w:szCs w:val="34"/>
        </w:rPr>
        <w:t xml:space="preserve">5. Storage Estimation &amp; Performance</w:t>
      </w:r>
    </w:p>
    <w:p>
      <w:pPr>
        <w:pBdr>
          <w:bottom w:val="single" w:color="2E7D52" w:sz="4" w:space="1"/>
        </w:pBdr>
        <w:spacing w:before="100" w:after="100"/>
      </w:pPr>
    </w:p>
    <w:p>
      <w:pPr>
        <w:spacing w:before="0" w:after="100"/>
      </w:pPr>
    </w:p>
    <w:p>
      <w:pPr>
        <w:pStyle w:val="Heading2"/>
        <w:spacing w:before="260" w:after="120"/>
      </w:pPr>
      <w:r>
        <w:rPr>
          <w:rFonts w:ascii="Arial" w:cs="Arial" w:eastAsia="Arial" w:hAnsi="Arial"/>
          <w:b/>
          <w:bCs/>
          <w:i w:val="false"/>
          <w:iCs w:val="false"/>
          <w:color w:val="2E7D52"/>
          <w:sz w:val="26"/>
          <w:szCs w:val="26"/>
        </w:rPr>
        <w:t xml:space="preserve">5.1 Estimated Document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3460"/>
      </w:tblGrid>
      <w:tr>
        <w:trPr>
          <w:tblHeader/>
        </w:trPr>
        <w:tc>
          <w:tcPr>
            <w:tcW w:type="dxa" w:w="25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Collection</w:t>
            </w:r>
          </w:p>
        </w:tc>
        <w:tc>
          <w:tcPr>
            <w:tcW w:type="dxa" w:w="18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Avg Doc Size</w:t>
            </w:r>
          </w:p>
        </w:tc>
        <w:tc>
          <w:tcPr>
            <w:tcW w:type="dxa" w:w="18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Est. Docs (Y1)</w:t>
            </w:r>
          </w:p>
        </w:tc>
        <w:tc>
          <w:tcPr>
            <w:tcW w:type="dxa" w:w="180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Est. Size (Y1)</w:t>
            </w:r>
          </w:p>
        </w:tc>
        <w:tc>
          <w:tcPr>
            <w:tcW w:type="dxa" w:w="3460"/>
            <w:tcBorders>
              <w:top w:val="single" w:color="888888" w:sz="1"/>
              <w:left w:val="single" w:color="888888" w:sz="1"/>
              <w:bottom w:val="single" w:color="888888" w:sz="1"/>
              <w:right w:val="single" w:color="888888" w:sz="1"/>
            </w:tcBorders>
            <w:shd w:fill="1A5C38"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600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1.2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All roles combined</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industries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3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1.5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With embedded address + docs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auditors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2.5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125 KB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Certifications array</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governments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1.5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30 KB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Small collection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emission_submissions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8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16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Largest collection — fuel arrays</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emission_baselines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One per industry per period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anomaly_reports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3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6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anomalyDetails array</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audit_reports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4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1,800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7.2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Signature + compliance 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carbon_credits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1.5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100,000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150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High volume — main usage driver</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transactions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200,000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200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Highest volume collection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marketplace_listings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Active + historical listings</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penalties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0.5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Smaller collection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policies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0.5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Rich text content</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notifications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0.5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50,000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25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High volume, TTL for cleanup</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activity_logs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0.5 KB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100,000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50 MB</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TTL 90 days auto-delete</w:t>
            </w:r>
          </w:p>
        </w:tc>
      </w:tr>
      <w:tr>
        <w:tc>
          <w:tcPr>
            <w:tcW w:type="dxa" w:w="25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emission_factors</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0.5 KB</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200</w:t>
            </w:r>
          </w:p>
        </w:tc>
        <w:tc>
          <w:tcPr>
            <w:tcW w:type="dxa" w:w="18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0.1 MB</w:t>
            </w:r>
          </w:p>
        </w:tc>
        <w:tc>
          <w:tcPr>
            <w:tcW w:type="dxa" w:w="34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Small, rarely changes</w:t>
            </w:r>
          </w:p>
        </w:tc>
      </w:tr>
      <w:tr>
        <w:tc>
          <w:tcPr>
            <w:tcW w:type="dxa" w:w="2500"/>
            <w:tcBorders>
              <w:top w:val="single" w:color="CCCCCC" w:sz="1"/>
              <w:left w:val="single" w:color="CCCCCC" w:sz="1"/>
              <w:bottom w:val="single" w:color="CCCCCC" w:sz="1"/>
              <w:right w:val="single" w:color="CCCCCC" w:sz="1"/>
            </w:tcBorders>
            <w:shd w:fill="1A5C38" w:val="clear"/>
            <w:tcMar>
              <w:top w:type="dxa" w:w="70"/>
              <w:left w:type="dxa" w:w="110"/>
              <w:bottom w:type="dxa" w:w="70"/>
              <w:right w:type="dxa" w:w="110"/>
            </w:tcMar>
          </w:tcPr>
          <w:p>
            <w:pPr>
              <w:spacing w:before="0" w:after="0"/>
            </w:pPr>
            <w:r>
              <w:rPr>
                <w:rFonts w:ascii="Arial" w:cs="Arial" w:eastAsia="Arial" w:hAnsi="Arial"/>
                <w:b/>
                <w:bCs/>
                <w:i w:val="false"/>
                <w:iCs w:val="false"/>
                <w:color w:val="FFFFFF"/>
                <w:sz w:val="19"/>
                <w:szCs w:val="19"/>
              </w:rPr>
              <w:t xml:space="preserve">TOTAL ESTIMATE</w:t>
            </w:r>
          </w:p>
        </w:tc>
        <w:tc>
          <w:tcPr>
            <w:tcW w:type="dxa" w:w="1800"/>
            <w:tcBorders>
              <w:top w:val="single" w:color="CCCCCC" w:sz="1"/>
              <w:left w:val="single" w:color="CCCCCC" w:sz="1"/>
              <w:bottom w:val="single" w:color="CCCCCC" w:sz="1"/>
              <w:right w:val="single" w:color="CCCCCC" w:sz="1"/>
            </w:tcBorders>
            <w:shd w:fill="1A5C38"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w:t>
            </w:r>
          </w:p>
        </w:tc>
        <w:tc>
          <w:tcPr>
            <w:tcW w:type="dxa" w:w="1800"/>
            <w:tcBorders>
              <w:top w:val="single" w:color="CCCCCC" w:sz="1"/>
              <w:left w:val="single" w:color="CCCCCC" w:sz="1"/>
              <w:bottom w:val="single" w:color="CCCCCC" w:sz="1"/>
              <w:right w:val="single" w:color="CCCCCC" w:sz="1"/>
            </w:tcBorders>
            <w:shd w:fill="1A5C38" w:val="clear"/>
            <w:tcMar>
              <w:top w:type="dxa" w:w="70"/>
              <w:left w:type="dxa" w:w="110"/>
              <w:bottom w:type="dxa" w:w="70"/>
              <w:right w:type="dxa" w:w="110"/>
            </w:tcMar>
          </w:tcPr>
          <w:p>
            <w:pPr>
              <w:spacing w:before="0" w:after="0"/>
            </w:pPr>
            <w:r>
              <w:rPr>
                <w:rFonts w:ascii="Arial" w:cs="Arial" w:eastAsia="Arial" w:hAnsi="Arial"/>
                <w:b/>
                <w:bCs/>
                <w:i w:val="false"/>
                <w:iCs w:val="false"/>
                <w:color w:val="FFFFFF"/>
                <w:sz w:val="19"/>
                <w:szCs w:val="19"/>
              </w:rPr>
              <w:t xml:space="preserve">~470K docs</w:t>
            </w:r>
          </w:p>
        </w:tc>
        <w:tc>
          <w:tcPr>
            <w:tcW w:type="dxa" w:w="1800"/>
            <w:tcBorders>
              <w:top w:val="single" w:color="CCCCCC" w:sz="1"/>
              <w:left w:val="single" w:color="CCCCCC" w:sz="1"/>
              <w:bottom w:val="single" w:color="CCCCCC" w:sz="1"/>
              <w:right w:val="single" w:color="CCCCCC" w:sz="1"/>
            </w:tcBorders>
            <w:shd w:fill="922B21" w:val="clear"/>
            <w:tcMar>
              <w:top w:type="dxa" w:w="70"/>
              <w:left w:type="dxa" w:w="110"/>
              <w:bottom w:type="dxa" w:w="70"/>
              <w:right w:type="dxa" w:w="110"/>
            </w:tcMar>
          </w:tcPr>
          <w:p>
            <w:pPr>
              <w:spacing w:before="0" w:after="0"/>
            </w:pPr>
            <w:r>
              <w:rPr>
                <w:rFonts w:ascii="Arial" w:cs="Arial" w:eastAsia="Arial" w:hAnsi="Arial"/>
                <w:b/>
                <w:bCs/>
                <w:i w:val="false"/>
                <w:iCs w:val="false"/>
                <w:color w:val="FFFFFF"/>
                <w:sz w:val="19"/>
                <w:szCs w:val="19"/>
              </w:rPr>
              <w:t xml:space="preserve">~470 MB</w:t>
            </w:r>
          </w:p>
        </w:tc>
        <w:tc>
          <w:tcPr>
            <w:tcW w:type="dxa" w:w="3460"/>
            <w:tcBorders>
              <w:top w:val="single" w:color="CCCCCC" w:sz="1"/>
              <w:left w:val="single" w:color="CCCCCC" w:sz="1"/>
              <w:bottom w:val="single" w:color="CCCCCC" w:sz="1"/>
              <w:right w:val="single" w:color="CCCCCC" w:sz="1"/>
            </w:tcBorders>
            <w:shd w:fill="FDEBD0"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Exceeds Atlas free 512MB at full Year 1 scale — upgrade required</w:t>
            </w:r>
          </w:p>
        </w:tc>
      </w:tr>
    </w:tbl>
    <w:p>
      <w:pPr>
        <w:spacing w:before="0" w:after="100"/>
      </w:pPr>
    </w:p>
    <w:p>
      <w:pPr>
        <w:spacing w:before="60" w:after="60"/>
      </w:pPr>
      <w:r>
        <w:rPr>
          <w:rFonts w:ascii="Arial" w:cs="Arial" w:eastAsia="Arial" w:hAnsi="Arial"/>
          <w:b w:val="false"/>
          <w:bCs w:val="false"/>
          <w:i w:val="false"/>
          <w:iCs w:val="false"/>
          <w:color w:val="566573"/>
          <w:sz w:val="18"/>
          <w:szCs w:val="18"/>
        </w:rPr>
        <w:t xml:space="preserve">Note: The 512MB free tier comfortably supports MVP and early growth. At scale, MongoDB Atlas M10 ($57/month) supports 10GB+. The main space drivers are carbon_credits and transactions — both grow with marketplace activity.</w:t>
      </w:r>
    </w:p>
    <w:p>
      <w:pPr>
        <w:spacing w:before="0" w:after="200"/>
      </w:pPr>
    </w:p>
    <w:p>
      <w:pPr>
        <w:pStyle w:val="Heading2"/>
        <w:spacing w:before="260" w:after="120"/>
      </w:pPr>
      <w:r>
        <w:rPr>
          <w:rFonts w:ascii="Arial" w:cs="Arial" w:eastAsia="Arial" w:hAnsi="Arial"/>
          <w:b/>
          <w:bCs/>
          <w:i w:val="false"/>
          <w:iCs w:val="false"/>
          <w:color w:val="2E7D52"/>
          <w:sz w:val="26"/>
          <w:szCs w:val="26"/>
        </w:rPr>
        <w:t xml:space="preserve">5.2 Redis Cache Strategy (Upstash)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Cache Key Pattern</w:t>
            </w:r>
          </w:p>
        </w:tc>
        <w:tc>
          <w:tcPr>
            <w:tcW w:type="dxa" w:w="200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TTL</w:t>
            </w:r>
          </w:p>
        </w:tc>
        <w:tc>
          <w:tcPr>
            <w:tcW w:type="dxa" w:w="4360"/>
            <w:tcBorders>
              <w:top w:val="single" w:color="888888" w:sz="1"/>
              <w:left w:val="single" w:color="888888" w:sz="1"/>
              <w:bottom w:val="single" w:color="888888" w:sz="1"/>
              <w:right w:val="single" w:color="888888" w:sz="1"/>
            </w:tcBorders>
            <w:shd w:fill="0D6E6E" w:val="clear"/>
            <w:tcMar>
              <w:top w:type="dxa" w:w="90"/>
              <w:left w:type="dxa" w:w="130"/>
              <w:bottom w:type="dxa" w:w="90"/>
              <w:right w:type="dxa" w:w="130"/>
            </w:tcMar>
          </w:tcPr>
          <w:p>
            <w:r>
              <w:rPr>
                <w:rFonts w:ascii="Arial" w:cs="Arial" w:eastAsia="Arial" w:hAnsi="Arial"/>
                <w:b/>
                <w:bCs/>
                <w:i w:val="false"/>
                <w:iCs w:val="false"/>
                <w:color w:val="FFFFFF"/>
                <w:sz w:val="19"/>
                <w:szCs w:val="19"/>
              </w:rPr>
              <w:t xml:space="preserve">What's Cached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session:{userId}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24 hours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User session data after login</w:t>
            </w:r>
          </w:p>
        </w:tc>
      </w:tr>
      <w:tr>
        <w:tc>
          <w:tcPr>
            <w:tcW w:type="dxa" w:w="3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otp:{email}</w:t>
            </w:r>
          </w:p>
        </w:tc>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 minutes</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2FA OTP code for email verification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rateLimit:{ip}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minute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Request count per IP for rate limiting</w:t>
            </w:r>
          </w:p>
        </w:tc>
      </w:tr>
      <w:tr>
        <w:tc>
          <w:tcPr>
            <w:tcW w:type="dxa" w:w="3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baseline:{industryId}:{period}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10 minutes</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Emission baseline result from AI service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market:listings:active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2 minutes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Active marketplace listings for browse page</w:t>
            </w:r>
          </w:p>
        </w:tc>
      </w:tr>
      <w:tr>
        <w:tc>
          <w:tcPr>
            <w:tcW w:type="dxa" w:w="3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notif:unread:{userId}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minute</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Unread notification count for badge indicator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factors:active:{category}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1 hour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Active emission factors for calculator</w:t>
            </w:r>
          </w:p>
        </w:tc>
      </w:tr>
      <w:tr>
        <w:tc>
          <w:tcPr>
            <w:tcW w:type="dxa" w:w="3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bCs/>
                <w:i w:val="false"/>
                <w:iCs w:val="false"/>
                <w:color w:val="1A5C38"/>
                <w:sz w:val="19"/>
                <w:szCs w:val="19"/>
              </w:rPr>
              <w:t xml:space="preserve">public:dashboard:stats</w:t>
            </w:r>
          </w:p>
        </w:tc>
        <w:tc>
          <w:tcPr>
            <w:tcW w:type="dxa" w:w="200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5 minutes</w:t>
            </w:r>
          </w:p>
        </w:tc>
        <w:tc>
          <w:tcPr>
            <w:tcW w:type="dxa" w:w="4360"/>
            <w:tcBorders>
              <w:top w:val="single" w:color="CCCCCC" w:sz="1"/>
              <w:left w:val="single" w:color="CCCCCC" w:sz="1"/>
              <w:bottom w:val="single" w:color="CCCCCC" w:sz="1"/>
              <w:right w:val="single" w:color="CCCCCC" w:sz="1"/>
            </w:tcBorders>
            <w:shd w:fill="F2F3F4" w:val="clear"/>
            <w:tcMar>
              <w:top w:type="dxa" w:w="70"/>
              <w:left w:type="dxa" w:w="110"/>
              <w:bottom w:type="dxa" w:w="70"/>
              <w:right w:type="dxa" w:w="110"/>
            </w:tcMar>
          </w:tcPr>
          <w:p>
            <w:pPr>
              <w:spacing w:before="0" w:after="0"/>
            </w:pPr>
            <w:r>
              <w:rPr>
                <w:rFonts w:ascii="Arial" w:cs="Arial" w:eastAsia="Arial" w:hAnsi="Arial"/>
                <w:b w:val="false"/>
                <w:bCs w:val="false"/>
                <w:i w:val="false"/>
                <w:iCs w:val="false"/>
                <w:color w:val="2C3E50"/>
                <w:sz w:val="19"/>
                <w:szCs w:val="19"/>
              </w:rPr>
              <w:t xml:space="preserve">National stats for public dashboard (high traffic)</w:t>
            </w:r>
          </w:p>
        </w:tc>
      </w:tr>
    </w:tbl>
    <w:p>
      <w:pPr>
        <w:spacing w:before="0" w:after="200"/>
      </w:pPr>
    </w:p>
    <w:p>
      <w:pPr>
        <w:pBdr>
          <w:bottom w:val="single" w:color="1A5C38" w:sz="4" w:space="1"/>
        </w:pBdr>
        <w:spacing w:before="100" w:after="100"/>
      </w:pPr>
    </w:p>
    <w:p>
      <w:pPr>
        <w:spacing w:before="0" w:after="100"/>
      </w:pPr>
    </w:p>
    <w:p>
      <w:pPr>
        <w:spacing w:before="60" w:after="60"/>
        <w:jc w:val="center"/>
      </w:pPr>
      <w:r>
        <w:rPr>
          <w:rFonts w:ascii="Arial" w:cs="Arial" w:eastAsia="Arial" w:hAnsi="Arial"/>
          <w:b w:val="false"/>
          <w:bCs w:val="false"/>
          <w:i/>
          <w:iCs/>
          <w:color w:val="2E7D52"/>
          <w:sz w:val="18"/>
          <w:szCs w:val="18"/>
        </w:rPr>
        <w:t xml:space="preserve">EcoChain Platform  |  Database Schema v1.0  |  MongoDB + Mongoose  |  March 2026</w:t>
      </w:r>
    </w:p>
    <w:sectPr>
      <w:headerReference w:type="default" r:id="rId6"/>
      <w:footerReference w:type="default" r:id="rId7"/>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2" w:sz="4" w:space="1"/>
      </w:pBdr>
      <w:spacing w:before="80" w:after="0"/>
      <w:jc w:val="center"/>
    </w:pPr>
    <w:r>
      <w:rPr>
        <w:rFonts w:ascii="Arial" w:cs="Arial" w:eastAsia="Arial" w:hAnsi="Arial"/>
        <w:b w:val="false"/>
        <w:bCs w:val="false"/>
        <w:i w:val="false"/>
        <w:iCs w:val="false"/>
        <w:color w:val="566573"/>
        <w:sz w:val="17"/>
        <w:szCs w:val="17"/>
      </w:rPr>
      <w:t xml:space="preserve">EcoChain Platform  |  Database Schema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4" w:space="1"/>
      </w:pBdr>
      <w:spacing w:before="0" w:after="80"/>
      <w:jc w:val="right"/>
    </w:pPr>
    <w:r>
      <w:rPr>
        <w:rFonts w:ascii="Arial" w:cs="Arial" w:eastAsia="Arial" w:hAnsi="Arial"/>
        <w:b/>
        <w:bCs/>
        <w:i w:val="false"/>
        <w:iCs w:val="false"/>
        <w:color w:val="2E7D52"/>
        <w:sz w:val="17"/>
        <w:szCs w:val="17"/>
      </w:rPr>
      <w:t xml:space="preserve">EcoChain — Database Schema Document  |  MongoDB + Mongoose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C38"/>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D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2026-03-08T08:35:34.457Z</dcterms:created>
  <dcterms:modified xsi:type="dcterms:W3CDTF">2026-03-08T08:35:34.458Z</dcterms:modified>
</cp:coreProperties>
</file>

<file path=docProps/custom.xml><?xml version="1.0" encoding="utf-8"?>
<Properties xmlns="http://schemas.openxmlformats.org/officeDocument/2006/custom-properties" xmlns:vt="http://schemas.openxmlformats.org/officeDocument/2006/docPropsVTypes"/>
</file>