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80" w:line="276" w:lineRule="auto"/>
      </w:pPr>
      <w:r>
        <w:rPr>
          <w:rFonts w:ascii="Calibri" w:hAnsi="Calibri"/>
          <w:color w:val="17324D"/>
          <w:sz w:val="40"/>
          <w:b/>
        </w:rPr>
        <w:t xml:space="preserve">Morning Meeting: JSON se SQL Migration Guide</w:t>
      </w:r>
    </w:p>
    <w:p>
      <w:pPr>
        <w:spacing w:after="90" w:line="276" w:lineRule="auto"/>
      </w:pPr>
      <w:r>
        <w:rPr>
          <w:rFonts w:ascii="Calibri" w:hAnsi="Calibri"/>
          <w:color w:val="263238"/>
          <w:sz w:val="26"/>
          <w:b/>
        </w:rPr>
        <w:t xml:space="preserve">Practical migration plan for the existing Node.js application</w:t>
      </w:r>
    </w:p>
    <w:p>
      <w:pPr>
        <w:spacing w:after="90" w:line="276" w:lineRule="auto"/>
      </w:pPr>
      <w:r>
        <w:rPr>
          <w:rFonts w:ascii="Calibri" w:hAnsi="Calibri"/>
          <w:color w:val="263238"/>
          <w:sz w:val="22"/>
        </w:rPr>
        <w:t xml:space="preserve">Prepared from the repository scan dated 2 October 2026. This guide covers server-side persistence; it does not change application code.</w:t>
      </w:r>
    </w:p>
    <w:p>
      <w:pPr>
        <w:spacing w:after="180" w:line="276" w:lineRule="auto"/>
        <w:keepNext/>
      </w:pPr>
      <w:r>
        <w:rPr>
          <w:rFonts w:ascii="Calibri" w:hAnsi="Calibri"/>
          <w:color w:val="107A68"/>
          <w:sz w:val="32"/>
          <w:b/>
        </w:rPr>
        <w:t xml:space="preserve">1. Recommendation</w:t>
      </w:r>
    </w:p>
    <w:p>
      <w:pPr>
        <w:spacing w:after="90" w:line="276" w:lineRule="auto"/>
      </w:pPr>
      <w:r>
        <w:rPr>
          <w:rFonts w:ascii="Calibri" w:hAnsi="Calibri"/>
          <w:color w:val="263238"/>
          <w:sz w:val="22"/>
        </w:rPr>
        <w:t xml:space="preserve">For one Morning Meeting server on a factory PC, start with SQLite on that machine and durable local storage. It provides transactions, constraints, and indexes with low operational overhead.</w:t>
      </w:r>
    </w:p>
    <w:p>
      <w:pPr>
        <w:spacing w:after="90" w:line="276" w:lineRule="auto"/>
      </w:pPr>
      <w:r>
        <w:rPr>
          <w:rFonts w:ascii="Calibri" w:hAnsi="Calibri"/>
          <w:color w:val="263238"/>
          <w:sz w:val="22"/>
        </w:rPr>
        <w:t xml:space="preserve">- Choose PostgreSQL for multiple app hosts, sustained concurrent writes, or a managed cloud database. Do not place a SQLite database file on SMB, NAS, or shared network storage.</w:t>
      </w:r>
    </w:p>
    <w:p>
      <w:pPr>
        <w:spacing w:after="90" w:line="276" w:lineRule="auto"/>
      </w:pPr>
      <w:r>
        <w:rPr>
          <w:rFonts w:ascii="Calibri" w:hAnsi="Calibri"/>
          <w:color w:val="263238"/>
          <w:sz w:val="22"/>
        </w:rPr>
        <w:t xml:space="preserve">- SQL is not required just to deploy. JSON works on persistent storage. Ephemeral hosting requires a persistent volume or managed database, and note attachments need durable storage separately.</w:t>
      </w:r>
    </w:p>
    <w:p>
      <w:pPr>
        <w:spacing w:after="90" w:line="276" w:lineRule="auto"/>
      </w:pPr>
      <w:r>
        <w:rPr>
          <w:rFonts w:ascii="Calibri" w:hAnsi="Calibri"/>
          <w:color w:val="263238"/>
          <w:sz w:val="22"/>
        </w:rPr>
        <w:t xml:space="preserve">- SQLite still has one writer at a time. Transactions improve correctness; they do not make one database file horizontally scalable.</w:t>
      </w:r>
    </w:p>
    <w:p>
      <w:pPr>
        <w:spacing w:after="180" w:line="276" w:lineRule="auto"/>
        <w:keepNext/>
      </w:pPr>
      <w:r>
        <w:rPr>
          <w:rFonts w:ascii="Calibri" w:hAnsi="Calibri"/>
          <w:color w:val="107A68"/>
          <w:sz w:val="32"/>
          <w:b/>
        </w:rPr>
        <w:t xml:space="preserve">2. Current persistence</w:t>
      </w:r>
    </w:p>
    <w:p>
      <w:pPr>
        <w:spacing w:after="90" w:line="276" w:lineRule="auto"/>
      </w:pPr>
      <w:r>
        <w:rPr>
          <w:rFonts w:ascii="Calibri" w:hAnsi="Calibri"/>
          <w:color w:val="263238"/>
          <w:sz w:val="22"/>
        </w:rPr>
        <w:t xml:space="preserve">- server/index.mjs defines 16 JSON-backed resources. Generic writes parse and rewrite the full resource file. users and sessions are JSON-backed too.</w:t>
      </w:r>
    </w:p>
    <w:p>
      <w:pPr>
        <w:spacing w:after="90" w:line="276" w:lineRule="auto"/>
      </w:pPr>
      <w:r>
        <w:rPr>
          <w:rFonts w:ascii="Calibri" w:hAnsi="Calibri"/>
          <w:color w:val="263238"/>
          <w:sz w:val="22"/>
        </w:rPr>
        <w:t xml:space="preserve">- At the scan, 20 top-level JSON files totalled 25.59 MiB: pdreport 12.48 MiB, routecard 6.02 MiB, uploads 3.23 MiB, meetings 2.92 MiB. Attachments and other data files are additional.</w:t>
      </w:r>
    </w:p>
    <w:p>
      <w:pPr>
        <w:spacing w:after="90" w:line="276" w:lineRule="auto"/>
      </w:pPr>
      <w:r>
        <w:rPr>
          <w:rFonts w:ascii="Calibri" w:hAnsi="Calibri"/>
          <w:color w:val="263238"/>
          <w:sz w:val="22"/>
        </w:rPr>
        <w:t xml:space="preserve">- REST APIs and Server-Sent Events (SSE) provide cross-device sync. Keep the API shape; emit an SSE event only after a SQL transaction commits.</w:t>
      </w:r>
    </w:p>
    <w:p>
      <w:pPr>
        <w:spacing w:after="90" w:line="276" w:lineRule="auto"/>
      </w:pPr>
      <w:r>
        <w:rPr>
          <w:rFonts w:ascii="Calibri" w:hAnsi="Calibri"/>
          <w:color w:val="263238"/>
          <w:sz w:val="22"/>
        </w:rPr>
        <w:t xml:space="preserve">- Browser localStorage contains UI preferences, caches, notification state, and the auth token. This migration targets server-owned data, not every browser key.</w:t>
      </w:r>
    </w:p>
    <w:p>
      <w:pPr>
        <w:spacing w:after="180" w:line="276" w:lineRule="auto"/>
        <w:keepNext/>
      </w:pPr>
      <w:r>
        <w:rPr>
          <w:rFonts w:ascii="Calibri" w:hAnsi="Calibri"/>
          <w:color w:val="107A68"/>
          <w:sz w:val="32"/>
          <w:b/>
        </w:rPr>
        <w:t xml:space="preserve">3. SQL design</w:t>
      </w:r>
    </w:p>
    <w:p>
      <w:pPr>
        <w:spacing w:after="90" w:line="276" w:lineRule="auto"/>
      </w:pPr>
      <w:r>
        <w:rPr>
          <w:rFonts w:ascii="Calibri" w:hAnsi="Calibri"/>
          <w:color w:val="263238"/>
          <w:sz w:val="22"/>
        </w:rPr>
        <w:t xml:space="preserve">Begin with a compatibility table that preserves each record payload as JSON text while exposing common query keys as indexed columns. Normalize large report payloads later, only when measured queries justify the extra complexity.</w:t>
      </w:r>
    </w:p>
    <w:p>
      <w:pPr>
        <w:spacing w:after="90" w:line="276" w:lineRule="auto"/>
      </w:pPr>
      <w:r>
        <w:rPr>
          <w:rFonts w:ascii="Calibri" w:hAnsi="Calibri"/>
          <w:color w:val="263238"/>
          <w:sz w:val="22"/>
        </w:rPr>
        <w:t xml:space="preserve">Use a composite key resource + unit + id. IDs can repeat across units. Preserve legacy records with no unit as U1 and keep Assembly records in ASS.</w:t>
      </w:r>
    </w:p>
    <w:p>
      <w:pPr>
        <w:spacing w:after="100" w:line="276" w:lineRule="auto"/>
        <w:keepNext/>
      </w:pPr>
      <w:r>
        <w:rPr>
          <w:rFonts w:ascii="Calibri" w:hAnsi="Calibri"/>
          <w:color w:val="17324D"/>
          <w:sz w:val="25"/>
          <w:b/>
        </w:rPr>
        <w:t xml:space="preserve">SQLite starter schema</w:t>
      </w:r>
    </w:p>
    <w:p>
      <w:pPr>
        <w:spacing w:after="90" w:line="276" w:lineRule="auto"/>
      </w:pPr>
      <w:r>
        <w:rPr>
          <w:rFonts w:ascii="Consolas" w:hAnsi="Consolas"/>
          <w:color w:val="263238"/>
          <w:sz w:val="20"/>
        </w:rPr>
        <w:t xml:space="preserve">CREATE TABLE records (</w:t>
      </w:r>
    </w:p>
    <w:p>
      <w:pPr>
        <w:spacing w:after="90" w:line="276" w:lineRule="auto"/>
      </w:pPr>
      <w:r>
        <w:rPr>
          <w:rFonts w:ascii="Consolas" w:hAnsi="Consolas"/>
          <w:color w:val="263238"/>
          <w:sz w:val="20"/>
        </w:rPr>
        <w:t xml:space="preserve">  resource TEXT NOT NULL, unit TEXT NOT NULL, id TEXT NOT NULL,</w:t>
      </w:r>
    </w:p>
    <w:p>
      <w:pPr>
        <w:spacing w:after="90" w:line="276" w:lineRule="auto"/>
      </w:pPr>
      <w:r>
        <w:rPr>
          <w:rFonts w:ascii="Consolas" w:hAnsi="Consolas"/>
          <w:color w:val="263238"/>
          <w:sz w:val="20"/>
        </w:rPr>
        <w:t xml:space="preserve">  created_at INTEGER, saved_at INTEGER, record_date TEXT, month_key TEXT,</w:t>
      </w:r>
    </w:p>
    <w:p>
      <w:pPr>
        <w:spacing w:after="90" w:line="276" w:lineRule="auto"/>
      </w:pPr>
      <w:r>
        <w:rPr>
          <w:rFonts w:ascii="Consolas" w:hAnsi="Consolas"/>
          <w:color w:val="263238"/>
          <w:sz w:val="20"/>
        </w:rPr>
        <w:t xml:space="preserve">  payload_json TEXT NOT NULL,</w:t>
      </w:r>
    </w:p>
    <w:p>
      <w:pPr>
        <w:spacing w:after="90" w:line="276" w:lineRule="auto"/>
      </w:pPr>
      <w:r>
        <w:rPr>
          <w:rFonts w:ascii="Consolas" w:hAnsi="Consolas"/>
          <w:color w:val="263238"/>
          <w:sz w:val="20"/>
        </w:rPr>
        <w:t xml:space="preserve">  PRIMARY KEY (resource, unit, id)</w:t>
      </w:r>
    </w:p>
    <w:p>
      <w:pPr>
        <w:spacing w:after="90" w:line="276" w:lineRule="auto"/>
      </w:pPr>
      <w:r>
        <w:rPr>
          <w:rFonts w:ascii="Consolas" w:hAnsi="Consolas"/>
          <w:color w:val="263238"/>
          <w:sz w:val="20"/>
        </w:rPr>
        <w:t xml:space="preserve">);</w:t>
      </w:r>
    </w:p>
    <w:p>
      <w:pPr>
        <w:spacing w:after="90" w:line="276" w:lineRule="auto"/>
      </w:pPr>
      <w:r>
        <w:rPr>
          <w:rFonts w:ascii="Consolas" w:hAnsi="Consolas"/>
          <w:color w:val="263238"/>
          <w:sz w:val="20"/>
        </w:rPr>
        <w:t xml:space="preserve">CREATE INDEX ix_records_lookup ON records(resource, unit, record_date);</w:t>
      </w:r>
    </w:p>
    <w:p>
      <w:pPr>
        <w:spacing w:after="90" w:line="276" w:lineRule="auto"/>
      </w:pPr>
      <w:r>
        <w:rPr>
          <w:rFonts w:ascii="Calibri" w:hAnsi="Calibri"/>
          <w:color w:val="263238"/>
          <w:sz w:val="22"/>
        </w:rPr>
        <w:t xml:space="preserve">For PostgreSQL, payload_json can be JSONB. Keep common filter fields as normal columns and add indexes based on actual queries.</w:t>
      </w:r>
    </w:p>
    <w:p>
      <w:pPr>
        <w:spacing w:after="100" w:line="276" w:lineRule="auto"/>
        <w:keepNext/>
      </w:pPr>
      <w:r>
        <w:rPr>
          <w:rFonts w:ascii="Calibri" w:hAnsi="Calibri"/>
          <w:color w:val="17324D"/>
          <w:sz w:val="25"/>
          <w:b/>
        </w:rPr>
        <w:t xml:space="preserve">Other tables</w:t>
      </w:r>
    </w:p>
    <w:p>
      <w:pPr>
        <w:spacing w:after="90" w:line="276" w:lineRule="auto"/>
      </w:pPr>
      <w:r>
        <w:rPr>
          <w:rFonts w:ascii="Calibri" w:hAnsi="Calibri"/>
          <w:color w:val="263238"/>
          <w:sz w:val="22"/>
        </w:rPr>
        <w:t xml:space="preserve">- users: username key, role, password hash, disabled flag, profile fields, created timestamp. Copy existing scrypt hashes; do not reset passwords as a side effect of migration.</w:t>
      </w:r>
    </w:p>
    <w:p>
      <w:pPr>
        <w:spacing w:after="90" w:line="276" w:lineRule="auto"/>
      </w:pPr>
      <w:r>
        <w:rPr>
          <w:rFonts w:ascii="Calibri" w:hAnsi="Calibri"/>
          <w:color w:val="263238"/>
          <w:sz w:val="22"/>
        </w:rPr>
        <w:t xml:space="preserve">- sessions: token hash, username, created_at, expires_at. Add expiry as a deliberate auth change. Hashing stored bearer tokens is optional hardening after compatibility is proven.</w:t>
      </w:r>
    </w:p>
    <w:p>
      <w:pPr>
        <w:spacing w:after="90" w:line="276" w:lineRule="auto"/>
      </w:pPr>
      <w:r>
        <w:rPr>
          <w:rFonts w:ascii="Calibri" w:hAnsi="Calibri"/>
          <w:color w:val="263238"/>
          <w:sz w:val="22"/>
        </w:rPr>
        <w:t xml:space="preserve">- audit_events: event id, timestamp, actor, event type, details. Preserve current history and retention rules.</w:t>
      </w:r>
    </w:p>
    <w:p>
      <w:pPr>
        <w:spacing w:after="90" w:line="276" w:lineRule="auto"/>
      </w:pPr>
      <w:r>
        <w:rPr>
          <w:rFonts w:ascii="Calibri" w:hAnsi="Calibri"/>
          <w:color w:val="263238"/>
          <w:sz w:val="22"/>
        </w:rPr>
        <w:t xml:space="preserve">- attachments: metadata and storage key only. Keep binaries out of SQL initially; store files on durable disk or object storage and preserve generated IDs.</w:t>
      </w:r>
    </w:p>
    <w:p>
      <w:pPr>
        <w:spacing w:after="90" w:line="276" w:lineRule="auto"/>
      </w:pPr>
      <w:r>
        <w:rPr>
          <w:rFonts w:ascii="Calibri" w:hAnsi="Calibri"/>
          <w:color w:val="263238"/>
          <w:sz w:val="22"/>
        </w:rPr>
        <w:t xml:space="preserve">- active/settings: map visibility and unit behavior explicitly; do not assume all records are global.</w:t>
      </w:r>
    </w:p>
    <w:p>
      <w:pPr>
        <w:spacing w:after="180" w:line="276" w:lineRule="auto"/>
        <w:keepNext/>
      </w:pPr>
      <w:r>
        <w:rPr>
          <w:rFonts w:ascii="Calibri" w:hAnsi="Calibri"/>
          <w:color w:val="107A68"/>
          <w:sz w:val="32"/>
          <w:b/>
        </w:rPr>
        <w:t xml:space="preserve">4. Migration steps</w:t>
      </w:r>
    </w:p>
    <w:p>
      <w:pPr>
        <w:spacing w:after="90" w:line="276" w:lineRule="auto"/>
      </w:pPr>
      <w:r>
        <w:rPr>
          <w:rFonts w:ascii="Calibri" w:hAnsi="Calibri"/>
          <w:color w:val="263238"/>
          <w:sz w:val="22"/>
        </w:rPr>
        <w:t xml:space="preserve">1. Decide SQLite or PostgreSQL from hosting topology. Verify the chosen Node.js LTS, OS, database driver, backup method, and Windows/Linux packaging before adding dependencies.</w:t>
      </w:r>
    </w:p>
    <w:p>
      <w:pPr>
        <w:spacing w:after="90" w:line="276" w:lineRule="auto"/>
      </w:pPr>
      <w:r>
        <w:rPr>
          <w:rFonts w:ascii="Calibri" w:hAnsi="Calibri"/>
          <w:color w:val="263238"/>
          <w:sz w:val="22"/>
        </w:rPr>
        <w:t xml:space="preserve">2. Schedule a write-free cutover window. Copy all of server/data, including archive and note-files, to a verified backup location. Keep the source JSON unchanged.</w:t>
      </w:r>
    </w:p>
    <w:p>
      <w:pPr>
        <w:spacing w:after="90" w:line="276" w:lineRule="auto"/>
      </w:pPr>
      <w:r>
        <w:rPr>
          <w:rFonts w:ascii="Calibri" w:hAnsi="Calibri"/>
          <w:color w:val="263238"/>
          <w:sz w:val="22"/>
        </w:rPr>
        <w:t xml:space="preserve">3. Add versioned schema migrations and a data-access layer. Replace resources incrementally while preserving authorization, unit filtering, response shapes, and SSE.</w:t>
      </w:r>
    </w:p>
    <w:p>
      <w:pPr>
        <w:spacing w:after="90" w:line="276" w:lineRule="auto"/>
      </w:pPr>
      <w:r>
        <w:rPr>
          <w:rFonts w:ascii="Calibri" w:hAnsi="Calibri"/>
          <w:color w:val="263238"/>
          <w:sz w:val="22"/>
        </w:rPr>
        <w:t xml:space="preserve">4. Build an idempotent importer. Preserve IDs, effective units, dates, timestamps, and full payloads. Insert in transactions; log malformed rows instead of silently skipping them.</w:t>
      </w:r>
    </w:p>
    <w:p>
      <w:pPr>
        <w:spacing w:after="90" w:line="276" w:lineRule="auto"/>
      </w:pPr>
      <w:r>
        <w:rPr>
          <w:rFonts w:ascii="Calibri" w:hAnsi="Calibri"/>
          <w:color w:val="263238"/>
          <w:sz w:val="22"/>
        </w:rPr>
        <w:t xml:space="preserve">5. Import users, sessions, and audit separately. Compare counts by resource and unit, duplicate keys, date ranges, sample payloads, logins, access checks, and attachment previews.</w:t>
      </w:r>
    </w:p>
    <w:p>
      <w:pPr>
        <w:spacing w:after="90" w:line="276" w:lineRule="auto"/>
      </w:pPr>
      <w:r>
        <w:rPr>
          <w:rFonts w:ascii="Calibri" w:hAnsi="Calibri"/>
          <w:color w:val="263238"/>
          <w:sz w:val="22"/>
        </w:rPr>
        <w:t xml:space="preserve">6. Cut reads and writes over only after reconciliation. Avoid permanent dual writes: one-sided failures create competing sources of truth. Publish SSE only after commit.</w:t>
      </w:r>
    </w:p>
    <w:p>
      <w:pPr>
        <w:spacing w:after="90" w:line="276" w:lineRule="auto"/>
      </w:pPr>
      <w:r>
        <w:rPr>
          <w:rFonts w:ascii="Calibri" w:hAnsi="Calibri"/>
          <w:color w:val="263238"/>
          <w:sz w:val="22"/>
        </w:rPr>
        <w:t xml:space="preserve">7. Keep a read-only JSON snapshot for the rollback window. Rollback restores the matching app version and data snapshot together; reconcile writes accepted after cutover.</w:t>
      </w:r>
    </w:p>
    <w:p>
      <w:pPr>
        <w:spacing w:after="180" w:line="276" w:lineRule="auto"/>
        <w:keepNext/>
      </w:pPr>
      <w:r>
        <w:rPr>
          <w:rFonts w:ascii="Calibri" w:hAnsi="Calibri"/>
          <w:color w:val="107A68"/>
          <w:sz w:val="32"/>
          <w:b/>
        </w:rPr>
        <w:t xml:space="preserve">5. Operations and backups</w:t>
      </w:r>
    </w:p>
    <w:p>
      <w:pPr>
        <w:spacing w:after="90" w:line="276" w:lineRule="auto"/>
      </w:pPr>
      <w:r>
        <w:rPr>
          <w:rFonts w:ascii="Calibri" w:hAnsi="Calibri"/>
          <w:color w:val="263238"/>
          <w:sz w:val="22"/>
        </w:rPr>
        <w:t xml:space="preserve">- SQLite: enable foreign keys, use WAL on local persistent storage, set a busy timeout, and use SQLite online backup or a quiesced copy. Do not copy only the main DB while WAL is active.</w:t>
      </w:r>
    </w:p>
    <w:p>
      <w:pPr>
        <w:spacing w:after="90" w:line="276" w:lineRule="auto"/>
      </w:pPr>
      <w:r>
        <w:rPr>
          <w:rFonts w:ascii="Calibri" w:hAnsi="Calibri"/>
          <w:color w:val="263238"/>
          <w:sz w:val="22"/>
        </w:rPr>
        <w:t xml:space="preserve">- PostgreSQL: use environment-based connection settings, TLS, least-privilege credentials, pooling, and regular pg_dump or managed backups. Never commit credentials.</w:t>
      </w:r>
    </w:p>
    <w:p>
      <w:pPr>
        <w:spacing w:after="90" w:line="276" w:lineRule="auto"/>
      </w:pPr>
      <w:r>
        <w:rPr>
          <w:rFonts w:ascii="Calibri" w:hAnsi="Calibri"/>
          <w:color w:val="263238"/>
          <w:sz w:val="22"/>
        </w:rPr>
        <w:t xml:space="preserve">- Back up and restore the database and attachments together. Existing Backup Clean ZIP/JSON restore code will not automatically understand the new schema.</w:t>
      </w:r>
    </w:p>
    <w:p>
      <w:pPr>
        <w:spacing w:after="90" w:line="276" w:lineRule="auto"/>
      </w:pPr>
      <w:r>
        <w:rPr>
          <w:rFonts w:ascii="Calibri" w:hAnsi="Calibri"/>
          <w:color w:val="263238"/>
          <w:sz w:val="22"/>
        </w:rPr>
        <w:t xml:space="preserve">- SQL does not fix ephemeral attachment storage, replace restore drills, or eliminate the need for a second backup copy.</w:t>
      </w:r>
    </w:p>
    <w:p>
      <w:pPr>
        <w:spacing w:after="180" w:line="276" w:lineRule="auto"/>
        <w:keepNext/>
      </w:pPr>
      <w:r>
        <w:rPr>
          <w:rFonts w:ascii="Calibri" w:hAnsi="Calibri"/>
          <w:color w:val="107A68"/>
          <w:sz w:val="32"/>
          <w:b/>
        </w:rPr>
        <w:t xml:space="preserve">6. Acceptance checklist</w:t>
      </w:r>
    </w:p>
    <w:p>
      <w:pPr>
        <w:spacing w:after="90" w:line="276" w:lineRule="auto"/>
      </w:pPr>
      <w:r>
        <w:rPr>
          <w:rFonts w:ascii="Calibri" w:hAnsi="Calibri"/>
          <w:color w:val="263238"/>
          <w:sz w:val="22"/>
        </w:rPr>
        <w:t xml:space="preserve">- Every source record is imported exactly once; counts match per resource and unit; identical IDs in separate units remain separate.</w:t>
      </w:r>
    </w:p>
    <w:p>
      <w:pPr>
        <w:spacing w:after="90" w:line="276" w:lineRule="auto"/>
      </w:pPr>
      <w:r>
        <w:rPr>
          <w:rFonts w:ascii="Calibri" w:hAnsi="Calibri"/>
          <w:color w:val="263238"/>
          <w:sz w:val="22"/>
        </w:rPr>
        <w:t xml:space="preserve">- Login, permissions, U1/U2/U3/ASS isolation, CRUD, Excel imports, Backup Clean preview/archive/restore, and attachment preview pass.</w:t>
      </w:r>
    </w:p>
    <w:p>
      <w:pPr>
        <w:spacing w:after="90" w:line="276" w:lineRule="auto"/>
      </w:pPr>
      <w:r>
        <w:rPr>
          <w:rFonts w:ascii="Calibri" w:hAnsi="Calibri"/>
          <w:color w:val="263238"/>
          <w:sz w:val="22"/>
        </w:rPr>
        <w:t xml:space="preserve">- A forced mid-transaction failure leaves no partial update. Restart preserves committed records; concurrent writes do not overwrite one another.</w:t>
      </w:r>
    </w:p>
    <w:p>
      <w:pPr>
        <w:spacing w:after="90" w:line="276" w:lineRule="auto"/>
      </w:pPr>
      <w:r>
        <w:rPr>
          <w:rFonts w:ascii="Calibri" w:hAnsi="Calibri"/>
          <w:color w:val="263238"/>
          <w:sz w:val="22"/>
        </w:rPr>
        <w:t xml:space="preserve">- SSE behavior is unchanged and fires after commit. Measure query time and memory using the largest PD report and route-card data.</w:t>
      </w:r>
    </w:p>
    <w:p>
      <w:pPr>
        <w:spacing w:after="90" w:line="276" w:lineRule="auto"/>
      </w:pPr>
      <w:r>
        <w:rPr>
          <w:rFonts w:ascii="Calibri" w:hAnsi="Calibri"/>
          <w:color w:val="263238"/>
          <w:sz w:val="22"/>
        </w:rPr>
        <w:t xml:space="preserve">- A full backup restores in a clean test environment, including attachments. Rollback steps and the database owner are documented.</w:t>
      </w:r>
    </w:p>
    <w:p>
      <w:pPr>
        <w:spacing w:after="180" w:line="276" w:lineRule="auto"/>
        <w:keepNext/>
      </w:pPr>
      <w:r>
        <w:rPr>
          <w:rFonts w:ascii="Calibri" w:hAnsi="Calibri"/>
          <w:color w:val="107A68"/>
          <w:sz w:val="32"/>
          <w:b/>
        </w:rPr>
        <w:t xml:space="preserve">7. Recommended project order</w:t>
      </w:r>
    </w:p>
    <w:p>
      <w:pPr>
        <w:spacing w:after="90" w:line="276" w:lineRule="auto"/>
      </w:pPr>
      <w:r>
        <w:rPr>
          <w:rFonts w:ascii="Calibri" w:hAnsi="Calibri"/>
          <w:color w:val="263238"/>
          <w:sz w:val="22"/>
        </w:rPr>
        <w:t xml:space="preserve">1. Separately harden authentication and repair note-delete archival behavior; do not hide those changes inside a database rewrite.</w:t>
      </w:r>
    </w:p>
    <w:p>
      <w:pPr>
        <w:spacing w:after="90" w:line="276" w:lineRule="auto"/>
      </w:pPr>
      <w:r>
        <w:rPr>
          <w:rFonts w:ascii="Calibri" w:hAnsi="Calibri"/>
          <w:color w:val="263238"/>
          <w:sz w:val="22"/>
        </w:rPr>
        <w:t xml:space="preserve">2. Add focused tests and capture current IDs, counts, units, and attachment references.</w:t>
      </w:r>
    </w:p>
    <w:p>
      <w:pPr>
        <w:spacing w:after="90" w:line="276" w:lineRule="auto"/>
      </w:pPr>
      <w:r>
        <w:rPr>
          <w:rFonts w:ascii="Calibri" w:hAnsi="Calibri"/>
          <w:color w:val="263238"/>
          <w:sz w:val="22"/>
        </w:rPr>
        <w:t xml:space="preserve">3. Prototype SQLite with meetings and uploads; benchmark the largest payload and test service restart and backup on the target machine.</w:t>
      </w:r>
    </w:p>
    <w:p>
      <w:pPr>
        <w:spacing w:after="90" w:line="276" w:lineRule="auto"/>
      </w:pPr>
      <w:r>
        <w:rPr>
          <w:rFonts w:ascii="Calibri" w:hAnsi="Calibri"/>
          <w:color w:val="263238"/>
          <w:sz w:val="22"/>
        </w:rPr>
        <w:t xml:space="preserve">4. Migrate remaining resources in small batches, then users/sessions/audit with an explicit rollback plan.</w:t>
      </w:r>
    </w:p>
    <w:p>
      <w:pPr>
        <w:spacing w:after="90" w:line="276" w:lineRule="auto"/>
      </w:pPr>
      <w:r>
        <w:rPr>
          <w:rFonts w:ascii="Calibri" w:hAnsi="Calibri"/>
          <w:color w:val="263238"/>
          <w:sz w:val="22"/>
        </w:rPr>
        <w:t xml:space="preserve">5. Select PostgreSQL instead if multi-instance or managed remote storage is a firm requirement.</w:t>
      </w:r>
    </w:p>
    <w:p>
      <w:pPr>
        <w:spacing w:after="90" w:line="276" w:lineRule="auto"/>
      </w:pPr>
      <w:r>
        <w:rPr>
          <w:rFonts w:ascii="Calibri" w:hAnsi="Calibri"/>
          <w:color w:val="A33A2B"/>
          <w:sz w:val="22"/>
          <w:b/>
        </w:rPr>
        <w:t xml:space="preserve">Do not start by normalizing every Excel payload into dozens of tables. First achieve a lossless transactional migration; normalize only when real reporting/query needs are measured.</w:t>
      </w:r>
    </w:p>
    <w:sectPr>
      <w:pgSz w:w="12240" w:h="15840"/>
      <w:pgMar w:top="1080" w:right="1080" w:bottom="1080" w:left="1080"/>
    </w:sectPr>
  </w:body>
</w:document>
</file>