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4A"/>
          <w:sz w:val="20"/>
          <w:szCs w:val="20"/>
        </w:rPr>
        <w:t xml:space="preserve">PROJECT REPORT</w:t>
      </w:r>
    </w:p>
    <w:p>
      <w:pPr>
        <w:spacing w:after="60"/>
      </w:pPr>
      <w:r>
        <w:rPr>
          <w:b/>
          <w:bCs/>
          <w:sz w:val="56"/>
          <w:szCs w:val="56"/>
        </w:rPr>
        <w:t xml:space="preserve">Bob — Personal AI Assistant</w:t>
      </w:r>
    </w:p>
    <w:p>
      <w:pPr>
        <w:spacing w:after="300"/>
      </w:pPr>
      <w:r>
        <w:rPr>
          <w:i/>
          <w:iCs/>
          <w:color w:val="667085"/>
          <w:sz w:val="22"/>
          <w:szCs w:val="22"/>
        </w:rPr>
        <w:t xml:space="preserve">Current build status and scope, as of this development phase</w:t>
      </w:r>
    </w:p>
    <w:p>
      <w:pPr>
        <w:pBdr>
          <w:bottom w:val="single" w:color="D0D5DD" w:sz="6" w:space="1"/>
        </w:pBdr>
        <w:spacing w:after="200"/>
      </w:pPr>
    </w:p>
    <w:p>
      <w:pPr>
        <w:pStyle w:val="Heading1"/>
        <w:spacing w:after="160" w:before="320"/>
      </w:pPr>
      <w:r>
        <w:t xml:space="preserve">1. The Idea</w:t>
      </w:r>
    </w:p>
    <w:p>
      <w:pPr>
        <w:spacing w:after="160"/>
      </w:pPr>
      <w:r>
        <w:t xml:space="preserve">Bob is a personal AI assistant, modeled loosely on the “JARVIS” concept — an assistant that is always available, remembers the user's data and conversations across sessions, and can eventually take real actions on the user's behalf (not just chat).</w:t>
      </w:r>
    </w:p>
    <w:p>
      <w:pPr>
        <w:spacing w:after="160"/>
      </w:pPr>
      <w:r>
        <w:t xml:space="preserve">The long-term vision has three layers: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central brain (“headquarters”) — a backend server that holds the AI logic, memory, and file storage, and is always online.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thin clients — a laptop app, an Android app, and a web dashboard — that all connect to the same headquarters, so the assistant feels the same and remembers the same things no matter which device is used.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Action-taking ability — eventually, the assistant should be able to operate the device itself (open apps, send messages, control the screen) rather than only replying in text or voice.</w:t>
      </w:r>
    </w:p>
    <w:p>
      <w:pPr>
        <w:pStyle w:val="Heading1"/>
        <w:spacing w:after="160" w:before="320"/>
      </w:pPr>
      <w:r>
        <w:t xml:space="preserve">2. What This Phase Covers</w:t>
      </w:r>
    </w:p>
    <w:p>
      <w:pPr>
        <w:spacing w:after="160"/>
      </w:pPr>
      <w:r>
        <w:t xml:space="preserve">Before building any device client (laptop app, Android app, floating overlay, voice wake-word, or screen automation), the priority was to get the headquarters — the backend — properly structured, secure, and working end-to-end. This phase is scoped strictly to that backend.</w:t>
      </w:r>
    </w:p>
    <w:p>
      <w:pPr>
        <w:spacing w:after="160"/>
      </w:pPr>
      <w:r>
        <w:t xml:space="preserve">This backend is the foundation every future client will plug into. Nothing about the clients changes this backend later; they simply call it.</w:t>
      </w:r>
    </w:p>
    <w:p>
      <w:pPr>
        <w:pStyle w:val="Heading1"/>
        <w:spacing w:after="160" w:before="320"/>
      </w:pPr>
      <w:r>
        <w:t xml:space="preserve">3. What Has Been Built So Far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400"/>
      </w:tblGrid>
      <w:tr>
        <w:trPr>
          <w:tblHeader/>
        </w:trPr>
        <w:tc>
          <w:tcPr>
            <w:tcW w:type="dxa" w:w="3200"/>
            <w:vAlign w:val="cente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2400"/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400"/>
            <w:vAlign w:val="cente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200"/>
            <w:vAlign w:val="center"/>
          </w:tcPr>
          <w:p>
            <w:r>
              <w:t xml:space="preserve">LLM routing (OpenRouter)</w:t>
            </w:r>
          </w:p>
        </w:tc>
        <w:tc>
          <w:tcPr>
            <w:tcW w:type="dxa" w:w="2400"/>
            <w:shd w:fill="2E9E5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400"/>
            <w:vAlign w:val="center"/>
          </w:tcPr>
          <w:p>
            <w:r>
              <w:rPr>
                <w:color w:val="667085"/>
                <w:sz w:val="19"/>
                <w:szCs w:val="19"/>
              </w:rPr>
              <w:t xml:space="preserve">Central service that sends messages to the chosen model and returns a reply. Model can be swapped per request.</w:t>
            </w:r>
          </w:p>
        </w:tc>
      </w:tr>
      <w:tr>
        <w:tc>
          <w:tcPr>
            <w:tcW w:type="dxa" w:w="3200"/>
            <w:vAlign w:val="center"/>
          </w:tcPr>
          <w:p>
            <w:r>
              <w:t xml:space="preserve">Chat memory (Firestore)</w:t>
            </w:r>
          </w:p>
        </w:tc>
        <w:tc>
          <w:tcPr>
            <w:tcW w:type="dxa" w:w="2400"/>
            <w:shd w:fill="2E9E5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400"/>
            <w:vAlign w:val="center"/>
          </w:tcPr>
          <w:p>
            <w:r>
              <w:rPr>
                <w:color w:val="667085"/>
                <w:sz w:val="19"/>
                <w:szCs w:val="19"/>
              </w:rPr>
              <w:t xml:space="preserve">Each user's sessions and messages are saved and retrievable — persists across logins and devices.</w:t>
            </w:r>
          </w:p>
        </w:tc>
      </w:tr>
      <w:tr>
        <w:tc>
          <w:tcPr>
            <w:tcW w:type="dxa" w:w="3200"/>
            <w:vAlign w:val="center"/>
          </w:tcPr>
          <w:p>
            <w:r>
              <w:t xml:space="preserve">Long-term facts memory</w:t>
            </w:r>
          </w:p>
        </w:tc>
        <w:tc>
          <w:tcPr>
            <w:tcW w:type="dxa" w:w="2400"/>
            <w:shd w:fill="2E9E5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400"/>
            <w:vAlign w:val="center"/>
          </w:tcPr>
          <w:p>
            <w:r>
              <w:rPr>
                <w:color w:val="667085"/>
                <w:sz w:val="19"/>
                <w:szCs w:val="19"/>
              </w:rPr>
              <w:t xml:space="preserve">Basic version — facts can be manually added, stored, and injected into every conversation as context. Automatic fact-extraction from conversation is not yet built.</w:t>
            </w:r>
          </w:p>
        </w:tc>
      </w:tr>
      <w:tr>
        <w:tc>
          <w:tcPr>
            <w:tcW w:type="dxa" w:w="3200"/>
            <w:vAlign w:val="center"/>
          </w:tcPr>
          <w:p>
            <w:r>
              <w:t xml:space="preserve">User authentication</w:t>
            </w:r>
          </w:p>
        </w:tc>
        <w:tc>
          <w:tcPr>
            <w:tcW w:type="dxa" w:w="2400"/>
            <w:shd w:fill="2E9E5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400"/>
            <w:vAlign w:val="center"/>
          </w:tcPr>
          <w:p>
            <w:r>
              <w:rPr>
                <w:color w:val="667085"/>
                <w:sz w:val="19"/>
                <w:szCs w:val="19"/>
              </w:rPr>
              <w:t xml:space="preserve">Every request is verified against a Firebase login token, so data is isolated per user.</w:t>
            </w:r>
          </w:p>
        </w:tc>
      </w:tr>
      <w:tr>
        <w:tc>
          <w:tcPr>
            <w:tcW w:type="dxa" w:w="3200"/>
            <w:vAlign w:val="center"/>
          </w:tcPr>
          <w:p>
            <w:r>
              <w:t xml:space="preserve">File / image / video storage</w:t>
            </w:r>
          </w:p>
        </w:tc>
        <w:tc>
          <w:tcPr>
            <w:tcW w:type="dxa" w:w="2400"/>
            <w:shd w:fill="2E9E5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400"/>
            <w:vAlign w:val="center"/>
          </w:tcPr>
          <w:p>
            <w:r>
              <w:rPr>
                <w:color w:val="667085"/>
                <w:sz w:val="19"/>
                <w:szCs w:val="19"/>
              </w:rPr>
              <w:t xml:space="preserve">Uploads are sent to Cloudinary and recorded per user; supports images, videos, and general files.</w:t>
            </w:r>
          </w:p>
        </w:tc>
      </w:tr>
      <w:tr>
        <w:tc>
          <w:tcPr>
            <w:tcW w:type="dxa" w:w="3200"/>
            <w:vAlign w:val="center"/>
          </w:tcPr>
          <w:p>
            <w:r>
              <w:t xml:space="preserve">API structure (routes)</w:t>
            </w:r>
          </w:p>
        </w:tc>
        <w:tc>
          <w:tcPr>
            <w:tcW w:type="dxa" w:w="2400"/>
            <w:shd w:fill="2E9E5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400"/>
            <w:vAlign w:val="center"/>
          </w:tcPr>
          <w:p>
            <w:r>
              <w:rPr>
                <w:color w:val="667085"/>
                <w:sz w:val="19"/>
                <w:szCs w:val="19"/>
              </w:rPr>
              <w:t xml:space="preserve">Chat, sessions, memory/facts, and files are separated into clean, independent API endpoints.</w:t>
            </w:r>
          </w:p>
        </w:tc>
      </w:tr>
      <w:tr>
        <w:tc>
          <w:tcPr>
            <w:tcW w:type="dxa" w:w="3200"/>
            <w:vAlign w:val="center"/>
          </w:tcPr>
          <w:p>
            <w:r>
              <w:t xml:space="preserve">Deployment configuration</w:t>
            </w:r>
          </w:p>
        </w:tc>
        <w:tc>
          <w:tcPr>
            <w:tcW w:type="dxa" w:w="2400"/>
            <w:shd w:fill="2E9E5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400"/>
            <w:vAlign w:val="center"/>
          </w:tcPr>
          <w:p>
            <w:r>
              <w:rPr>
                <w:color w:val="667085"/>
                <w:sz w:val="19"/>
                <w:szCs w:val="19"/>
              </w:rPr>
              <w:t xml:space="preserve">Ready to deploy to Vercel as a serverless application; environment variable template provided.</w:t>
            </w:r>
          </w:p>
        </w:tc>
      </w:tr>
      <w:tr>
        <w:tc>
          <w:tcPr>
            <w:tcW w:type="dxa" w:w="3200"/>
            <w:vAlign w:val="center"/>
          </w:tcPr>
          <w:p>
            <w:r>
              <w:t xml:space="preserve">Setup documentation</w:t>
            </w:r>
          </w:p>
        </w:tc>
        <w:tc>
          <w:tcPr>
            <w:tcW w:type="dxa" w:w="2400"/>
            <w:shd w:fill="2E9E5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400"/>
            <w:vAlign w:val="center"/>
          </w:tcPr>
          <w:p>
            <w:r>
              <w:rPr>
                <w:color w:val="667085"/>
                <w:sz w:val="19"/>
                <w:szCs w:val="19"/>
              </w:rPr>
              <w:t xml:space="preserve">Step-by-step guide for creating the OpenRouter, Firebase, and Cloudinary accounts and connecting them.</w:t>
            </w:r>
          </w:p>
        </w:tc>
      </w:tr>
    </w:tbl>
    <w:p>
      <w:pPr>
        <w:pStyle w:val="Heading1"/>
        <w:spacing w:after="160" w:before="320"/>
      </w:pPr>
      <w:r>
        <w:t xml:space="preserve">4. What Is Deliberately Not Built Yet</w:t>
      </w:r>
    </w:p>
    <w:p>
      <w:pPr>
        <w:spacing w:after="160"/>
      </w:pPr>
      <w:r>
        <w:t xml:space="preserve">These are out of scope for this phase by design — they depend on the backend above being stable first.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400"/>
      </w:tblGrid>
      <w:tr>
        <w:trPr>
          <w:tblHeader/>
        </w:trPr>
        <w:tc>
          <w:tcPr>
            <w:tcW w:type="dxa" w:w="3200"/>
            <w:vAlign w:val="cente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2400"/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400"/>
            <w:vAlign w:val="cente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200"/>
            <w:vAlign w:val="center"/>
          </w:tcPr>
          <w:p>
            <w:r>
              <w:t xml:space="preserve">Laptop client / app</w:t>
            </w:r>
          </w:p>
        </w:tc>
        <w:tc>
          <w:tcPr>
            <w:tcW w:type="dxa" w:w="2400"/>
            <w:shd w:fill="8A94A6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400"/>
            <w:vAlign w:val="center"/>
          </w:tcPr>
          <w:p>
            <w:r>
              <w:rPr>
                <w:color w:val="667085"/>
                <w:sz w:val="19"/>
                <w:szCs w:val="19"/>
              </w:rPr>
              <w:t xml:space="preserve">No desktop app or floating widget yet.</w:t>
            </w:r>
          </w:p>
        </w:tc>
      </w:tr>
      <w:tr>
        <w:tc>
          <w:tcPr>
            <w:tcW w:type="dxa" w:w="3200"/>
            <w:vAlign w:val="center"/>
          </w:tcPr>
          <w:p>
            <w:r>
              <w:t xml:space="preserve">Android client / app</w:t>
            </w:r>
          </w:p>
        </w:tc>
        <w:tc>
          <w:tcPr>
            <w:tcW w:type="dxa" w:w="2400"/>
            <w:shd w:fill="8A94A6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400"/>
            <w:vAlign w:val="center"/>
          </w:tcPr>
          <w:p>
            <w:r>
              <w:rPr>
                <w:color w:val="667085"/>
                <w:sz w:val="19"/>
                <w:szCs w:val="19"/>
              </w:rPr>
              <w:t xml:space="preserve">No mobile app yet — this will call the same backend APIs.</w:t>
            </w:r>
          </w:p>
        </w:tc>
      </w:tr>
      <w:tr>
        <w:tc>
          <w:tcPr>
            <w:tcW w:type="dxa" w:w="3200"/>
            <w:vAlign w:val="center"/>
          </w:tcPr>
          <w:p>
            <w:r>
              <w:t xml:space="preserve">Floating overlay UI</w:t>
            </w:r>
          </w:p>
        </w:tc>
        <w:tc>
          <w:tcPr>
            <w:tcW w:type="dxa" w:w="2400"/>
            <w:shd w:fill="8A94A6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400"/>
            <w:vAlign w:val="center"/>
          </w:tcPr>
          <w:p>
            <w:r>
              <w:rPr>
                <w:color w:val="667085"/>
                <w:sz w:val="19"/>
                <w:szCs w:val="19"/>
              </w:rPr>
              <w:t xml:space="preserve">The always-visible icon on screen, on either device.</w:t>
            </w:r>
          </w:p>
        </w:tc>
      </w:tr>
      <w:tr>
        <w:tc>
          <w:tcPr>
            <w:tcW w:type="dxa" w:w="3200"/>
            <w:vAlign w:val="center"/>
          </w:tcPr>
          <w:p>
            <w:r>
              <w:t xml:space="preserve">Wake word / continuous voice</w:t>
            </w:r>
          </w:p>
        </w:tc>
        <w:tc>
          <w:tcPr>
            <w:tcW w:type="dxa" w:w="2400"/>
            <w:shd w:fill="8A94A6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400"/>
            <w:vAlign w:val="center"/>
          </w:tcPr>
          <w:p>
            <w:r>
              <w:rPr>
                <w:color w:val="667085"/>
                <w:sz w:val="19"/>
                <w:szCs w:val="19"/>
              </w:rPr>
              <w:t xml:space="preserve">Voice exists only as a manual mic-button test in the earlier prototype, not in this backend.</w:t>
            </w:r>
          </w:p>
        </w:tc>
      </w:tr>
      <w:tr>
        <w:tc>
          <w:tcPr>
            <w:tcW w:type="dxa" w:w="3200"/>
            <w:vAlign w:val="center"/>
          </w:tcPr>
          <w:p>
            <w:r>
              <w:t xml:space="preserve">Screen vision / automation</w:t>
            </w:r>
          </w:p>
        </w:tc>
        <w:tc>
          <w:tcPr>
            <w:tcW w:type="dxa" w:w="2400"/>
            <w:shd w:fill="8A94A6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400"/>
            <w:vAlign w:val="center"/>
          </w:tcPr>
          <w:p>
            <w:r>
              <w:rPr>
                <w:color w:val="667085"/>
                <w:sz w:val="19"/>
                <w:szCs w:val="19"/>
              </w:rPr>
              <w:t xml:space="preserve">Reading the screen and clicking/tapping on the user's behalf.</w:t>
            </w:r>
          </w:p>
        </w:tc>
      </w:tr>
      <w:tr>
        <w:tc>
          <w:tcPr>
            <w:tcW w:type="dxa" w:w="3200"/>
            <w:vAlign w:val="center"/>
          </w:tcPr>
          <w:p>
            <w:r>
              <w:t xml:space="preserve">Automatic fact extraction</w:t>
            </w:r>
          </w:p>
        </w:tc>
        <w:tc>
          <w:tcPr>
            <w:tcW w:type="dxa" w:w="2400"/>
            <w:shd w:fill="D68A1E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4400"/>
            <w:vAlign w:val="center"/>
          </w:tcPr>
          <w:p>
            <w:r>
              <w:rPr>
                <w:color w:val="667085"/>
                <w:sz w:val="19"/>
                <w:szCs w:val="19"/>
              </w:rPr>
              <w:t xml:space="preserve">Facts can be stored, but the assistant does not yet automatically detect and save new facts from conversation on its own.</w:t>
            </w:r>
          </w:p>
        </w:tc>
      </w:tr>
      <w:tr>
        <w:tc>
          <w:tcPr>
            <w:tcW w:type="dxa" w:w="3200"/>
            <w:vAlign w:val="center"/>
          </w:tcPr>
          <w:p>
            <w:r>
              <w:t xml:space="preserve">Frontend connected to this backend</w:t>
            </w:r>
          </w:p>
        </w:tc>
        <w:tc>
          <w:tcPr>
            <w:tcW w:type="dxa" w:w="2400"/>
            <w:shd w:fill="8A94A6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400"/>
            <w:vAlign w:val="center"/>
          </w:tcPr>
          <w:p>
            <w:r>
              <w:rPr>
                <w:color w:val="667085"/>
                <w:sz w:val="19"/>
                <w:szCs w:val="19"/>
              </w:rPr>
              <w:t xml:space="preserve">The earlier prototype UI still talks to OpenRouter directly; it needs to be rewired to call this backend instead.</w:t>
            </w:r>
          </w:p>
        </w:tc>
      </w:tr>
    </w:tbl>
    <w:p>
      <w:pPr>
        <w:pStyle w:val="Heading1"/>
        <w:spacing w:after="160" w:before="320"/>
      </w:pPr>
      <w:r>
        <w:t xml:space="preserve">5. Why This Order Was Chosen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Building a floating overlay or Android app before the backend was stable would mean rebuilding the client every time the memory or auth logic changed underneath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Getting authentication and per-user data isolation right early avoids a security rework later, once real personal data (chats, files) is already stored.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Keeping API keys only on the server (never in a browser or app) was only possible once a real backend existed — this was not true in the very first prototype.</w:t>
      </w:r>
    </w:p>
    <w:p>
      <w:pPr>
        <w:pStyle w:val="Heading1"/>
        <w:spacing w:after="160" w:before="320"/>
      </w:pPr>
      <w:r>
        <w:t xml:space="preserve">6. Immediate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Rewire the existing web prototype to call this backend's API instead of OpenRouter directly (so file uploads and facts persist properly through Cloudinary and Firestore).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the backend to Vercel and confirm it works live with real Firebase and Cloudinary accounts.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after the above is confirmed stable: begin the Android client, followed by wake-word voice and screen automation.</w:t>
      </w:r>
    </w:p>
    <w:p>
      <w:pPr>
        <w:pBdr>
          <w:bottom w:val="single" w:color="D0D5DD" w:sz="6" w:space="1"/>
        </w:pBdr>
        <w:spacing w:after="200"/>
      </w:pPr>
    </w:p>
    <w:p>
      <w:r>
        <w:rPr>
          <w:i/>
          <w:iCs/>
          <w:color w:val="667085"/>
          <w:sz w:val="20"/>
          <w:szCs w:val="20"/>
        </w:rPr>
        <w:t xml:space="preserve">End of report.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2026-08-01T18:44:48.125Z</dcterms:created>
  <dcterms:modified xsi:type="dcterms:W3CDTF">2026-08-01T18:44:48.140Z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