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3 — Architectural Justification</w:t>
      </w:r>
    </w:p>
    <w:p>
      <w:pPr>
        <w:jc w:val="center"/>
      </w:pPr>
      <w:r>
        <w:rPr>
          <w:b/>
          <w:sz w:val="19"/>
        </w:rPr>
        <w:t>Restaurant Table Booking &amp; Pre-Ordering App | Problem Statement #36</w:t>
      </w:r>
    </w:p>
    <w:p>
      <w:pPr>
        <w:jc w:val="center"/>
      </w:pPr>
      <w:r>
        <w:rPr>
          <w:sz w:val="16"/>
        </w:rPr>
        <w:t>PES University — Dept. of CSE   •   Name: NIKHIL.P   •   SRN: PES1UG24CS583   •   Date: 16-09-2026</w:t>
      </w:r>
    </w:p>
    <w:p>
      <w:r>
        <w:rPr>
          <w:b/>
        </w:rPr>
        <w:t xml:space="preserve">Architecture Selection: </w:t>
      </w:r>
      <w:r>
        <w:t>We selected Microservices Architecture for the Restaurant Table Booking &amp; Pre-Ordering System because the main services can work and scale separately.</w:t>
      </w:r>
    </w:p>
    <w:p>
      <w:pPr>
        <w:spacing w:before="100" w:after="40"/>
      </w:pPr>
      <w:r>
        <w:rPr>
          <w:b/>
          <w:sz w:val="21"/>
        </w:rPr>
        <w:t>1. Architectural style analysis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D9E2F3"/>
          </w:tcPr>
          <w:p>
            <w:pPr>
              <w:spacing w:after="0"/>
            </w:pPr>
            <w:r>
              <w:rPr>
                <w:b/>
                <w:sz w:val="15"/>
              </w:rPr>
              <w:t>Style</w:t>
            </w:r>
          </w:p>
        </w:tc>
        <w:tc>
          <w:tcPr>
            <w:tcW w:type="dxa" w:w="2628"/>
            <w:vAlign w:val="center"/>
            <w:shd w:fill="D9E2F3"/>
          </w:tcPr>
          <w:p>
            <w:pPr>
              <w:spacing w:after="0"/>
            </w:pPr>
            <w:r>
              <w:rPr>
                <w:b/>
                <w:sz w:val="15"/>
              </w:rPr>
              <w:t>Strength</w:t>
            </w:r>
          </w:p>
        </w:tc>
        <w:tc>
          <w:tcPr>
            <w:tcW w:type="dxa" w:w="2628"/>
            <w:vAlign w:val="center"/>
            <w:shd w:fill="D9E2F3"/>
          </w:tcPr>
          <w:p>
            <w:pPr>
              <w:spacing w:after="0"/>
            </w:pPr>
            <w:r>
              <w:rPr>
                <w:b/>
                <w:sz w:val="15"/>
              </w:rPr>
              <w:t>Limitation</w:t>
            </w:r>
          </w:p>
        </w:tc>
        <w:tc>
          <w:tcPr>
            <w:tcW w:type="dxa" w:w="2628"/>
            <w:vAlign w:val="center"/>
            <w:shd w:fill="D9E2F3"/>
          </w:tcPr>
          <w:p>
            <w:pPr>
              <w:spacing w:after="0"/>
            </w:pPr>
            <w:r>
              <w:rPr>
                <w:b/>
                <w:sz w:val="15"/>
              </w:rPr>
              <w:t>Decision</w:t>
            </w:r>
          </w:p>
        </w:tc>
      </w:tr>
      <w:tr>
        <w:tc>
          <w:tcPr>
            <w:tcW w:type="dxa" w:w="2628"/>
            <w:vAlign w:val="center"/>
          </w:tcPr>
          <w:p>
            <w:pPr>
              <w:spacing w:after="0"/>
            </w:pPr>
            <w:r>
              <w:rPr>
                <w:sz w:val="15"/>
              </w:rPr>
              <w:t>Layered</w:t>
            </w:r>
          </w:p>
        </w:tc>
        <w:tc>
          <w:tcPr>
            <w:tcW w:type="dxa" w:w="2628"/>
            <w:vAlign w:val="center"/>
          </w:tcPr>
          <w:p>
            <w:pPr>
              <w:spacing w:after="0"/>
            </w:pPr>
            <w:r>
              <w:rPr>
                <w:sz w:val="15"/>
              </w:rPr>
              <w:t>Separates presentation, business logic and data. Easy to understand.</w:t>
            </w:r>
          </w:p>
        </w:tc>
        <w:tc>
          <w:tcPr>
            <w:tcW w:type="dxa" w:w="2628"/>
            <w:vAlign w:val="center"/>
          </w:tcPr>
          <w:p>
            <w:pPr>
              <w:spacing w:after="0"/>
            </w:pPr>
            <w:r>
              <w:rPr>
                <w:sz w:val="15"/>
              </w:rPr>
              <w:t>The whole application has to be scaled together, even when only table availability has high load.</w:t>
            </w:r>
          </w:p>
        </w:tc>
        <w:tc>
          <w:tcPr>
            <w:tcW w:type="dxa" w:w="2628"/>
            <w:vAlign w:val="center"/>
          </w:tcPr>
          <w:p>
            <w:pPr>
              <w:spacing w:after="0"/>
            </w:pPr>
            <w:r>
              <w:rPr>
                <w:sz w:val="15"/>
              </w:rPr>
              <w:t>Rejected</w:t>
            </w:r>
          </w:p>
        </w:tc>
      </w:tr>
      <w:tr>
        <w:tc>
          <w:tcPr>
            <w:tcW w:type="dxa" w:w="2628"/>
            <w:vAlign w:val="center"/>
          </w:tcPr>
          <w:p>
            <w:pPr>
              <w:spacing w:after="0"/>
            </w:pPr>
            <w:r>
              <w:rPr>
                <w:sz w:val="15"/>
              </w:rPr>
              <w:t>Client–Server</w:t>
            </w:r>
          </w:p>
        </w:tc>
        <w:tc>
          <w:tcPr>
            <w:tcW w:type="dxa" w:w="2628"/>
            <w:vAlign w:val="center"/>
          </w:tcPr>
          <w:p>
            <w:pPr>
              <w:spacing w:after="0"/>
            </w:pPr>
            <w:r>
              <w:rPr>
                <w:sz w:val="15"/>
              </w:rPr>
              <w:t>Centralized control and simple data management.</w:t>
            </w:r>
          </w:p>
        </w:tc>
        <w:tc>
          <w:tcPr>
            <w:tcW w:type="dxa" w:w="2628"/>
            <w:vAlign w:val="center"/>
          </w:tcPr>
          <w:p>
            <w:pPr>
              <w:spacing w:after="0"/>
            </w:pPr>
            <w:r>
              <w:rPr>
                <w:sz w:val="15"/>
              </w:rPr>
              <w:t>If the server fails, booking, payment and kitchen operations can be affected together.</w:t>
            </w:r>
          </w:p>
        </w:tc>
        <w:tc>
          <w:tcPr>
            <w:tcW w:type="dxa" w:w="2628"/>
            <w:vAlign w:val="center"/>
          </w:tcPr>
          <w:p>
            <w:pPr>
              <w:spacing w:after="0"/>
            </w:pPr>
            <w:r>
              <w:rPr>
                <w:sz w:val="15"/>
              </w:rPr>
              <w:t>Rejected</w:t>
            </w:r>
          </w:p>
        </w:tc>
      </w:tr>
      <w:tr>
        <w:tc>
          <w:tcPr>
            <w:tcW w:type="dxa" w:w="2628"/>
            <w:vAlign w:val="center"/>
          </w:tcPr>
          <w:p>
            <w:pPr>
              <w:spacing w:after="0"/>
            </w:pPr>
            <w:r>
              <w:rPr>
                <w:sz w:val="15"/>
              </w:rPr>
              <w:t>Microservices</w:t>
            </w:r>
          </w:p>
        </w:tc>
        <w:tc>
          <w:tcPr>
            <w:tcW w:type="dxa" w:w="2628"/>
            <w:vAlign w:val="center"/>
          </w:tcPr>
          <w:p>
            <w:pPr>
              <w:spacing w:after="0"/>
            </w:pPr>
            <w:r>
              <w:rPr>
                <w:sz w:val="15"/>
              </w:rPr>
              <w:t>Services can be developed, scaled and deployed separately. Payment can be isolated.</w:t>
            </w:r>
          </w:p>
        </w:tc>
        <w:tc>
          <w:tcPr>
            <w:tcW w:type="dxa" w:w="2628"/>
            <w:vAlign w:val="center"/>
          </w:tcPr>
          <w:p>
            <w:pPr>
              <w:spacing w:after="0"/>
            </w:pPr>
            <w:r>
              <w:rPr>
                <w:sz w:val="15"/>
              </w:rPr>
              <w:t>More services mean more network communication and management work.</w:t>
            </w:r>
          </w:p>
        </w:tc>
        <w:tc>
          <w:tcPr>
            <w:tcW w:type="dxa" w:w="2628"/>
            <w:vAlign w:val="center"/>
          </w:tcPr>
          <w:p>
            <w:pPr>
              <w:spacing w:after="0"/>
            </w:pPr>
            <w:r>
              <w:rPr>
                <w:sz w:val="15"/>
              </w:rPr>
              <w:t>Selected</w:t>
            </w:r>
          </w:p>
        </w:tc>
      </w:tr>
    </w:tbl>
    <w:p>
      <w:pPr>
        <w:spacing w:before="100" w:after="40"/>
      </w:pPr>
      <w:r>
        <w:rPr>
          <w:b/>
          <w:sz w:val="21"/>
        </w:rPr>
        <w:t>2. Reason one — load is mainly on table availability</w:t>
      </w:r>
    </w:p>
    <w:p>
      <w:pPr>
        <w:spacing w:after="60" w:line="240" w:lineRule="auto"/>
      </w:pPr>
      <w:r>
        <w:t>NFR-001 requires table status updates to reach manager terminals and the diner floor plan within 500 ms for 200 concurrent sessions. The Table Availability Service will receive most of these updates. With microservices, this service can be scaled separately and can use a Redis cache during busy hours. Other services do not need the same amount of resources.</w:t>
      </w:r>
    </w:p>
    <w:p>
      <w:pPr>
        <w:spacing w:before="100" w:after="40"/>
      </w:pPr>
      <w:r>
        <w:rPr>
          <w:b/>
          <w:sz w:val="21"/>
        </w:rPr>
        <w:t>3. Reason two — failures should remain local</w:t>
      </w:r>
    </w:p>
    <w:p>
      <w:pPr>
        <w:spacing w:after="60" w:line="240" w:lineRule="auto"/>
      </w:pPr>
      <w:r>
        <w:t>The system uses different functions such as payment, kitchen display, floor terminals and the diner app. If the payment gateway has a problem, users should still be able to view tables and the kitchen should continue its work. Separate services help keep such failures limited to the affected service instead of stopping the complete application.</w:t>
      </w:r>
    </w:p>
    <w:p>
      <w:pPr>
        <w:spacing w:before="100" w:after="40"/>
      </w:pPr>
      <w:r>
        <w:rPr>
          <w:b/>
          <w:sz w:val="21"/>
        </w:rPr>
        <w:t>4. Security advantage</w:t>
      </w:r>
    </w:p>
    <w:p>
      <w:pPr>
        <w:spacing w:after="60" w:line="240" w:lineRule="auto"/>
      </w:pPr>
      <w:r>
        <w:t>NFR-002 says that raw card details should not be stored. The Payment Service can handle the payment gateway and store only payment tokens. This keeps sensitive payment information limited to one service and reduces the security scope of the application. Other services work with booking details and tokens instead of card numbers or CVV.</w:t>
      </w:r>
    </w:p>
    <w:p>
      <w:pPr>
        <w:spacing w:before="100" w:after="40"/>
      </w:pPr>
      <w:r>
        <w:rPr>
          <w:b/>
          <w:sz w:val="21"/>
        </w:rPr>
        <w:t>5. Performance benefit</w:t>
      </w:r>
    </w:p>
    <w:p>
      <w:pPr>
        <w:spacing w:after="60" w:line="240" w:lineRule="auto"/>
      </w:pPr>
      <w:r>
        <w:t>The Table Availability Service can keep live table information in memory and send updates using WebSockets through the API Gateway. This reduces repeated database access and allows the service to be scaled separately. This helps the system work towards the required 500 ms p95 response time.</w:t>
      </w:r>
    </w:p>
    <w:p>
      <w:pPr>
        <w:spacing w:before="100" w:after="40"/>
      </w:pPr>
      <w:r>
        <w:rPr>
          <w:b/>
          <w:sz w:val="21"/>
        </w:rPr>
        <w:t>6. Components and interfaces modelled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2F3"/>
          </w:tcPr>
          <w:p>
            <w:pPr>
              <w:spacing w:after="0"/>
            </w:pPr>
            <w:r>
              <w:rPr>
                <w:b/>
                <w:sz w:val="15"/>
              </w:rPr>
              <w:t>Component</w:t>
            </w:r>
          </w:p>
        </w:tc>
        <w:tc>
          <w:tcPr>
            <w:tcW w:type="dxa" w:w="3504"/>
            <w:vAlign w:val="center"/>
            <w:shd w:fill="D9E2F3"/>
          </w:tcPr>
          <w:p>
            <w:pPr>
              <w:spacing w:after="0"/>
            </w:pPr>
            <w:r>
              <w:rPr>
                <w:b/>
                <w:sz w:val="15"/>
              </w:rPr>
              <w:t>Source</w:t>
            </w:r>
          </w:p>
        </w:tc>
        <w:tc>
          <w:tcPr>
            <w:tcW w:type="dxa" w:w="3504"/>
            <w:vAlign w:val="center"/>
            <w:shd w:fill="D9E2F3"/>
          </w:tcPr>
          <w:p>
            <w:pPr>
              <w:spacing w:after="0"/>
            </w:pPr>
            <w:r>
              <w:rPr>
                <w:b/>
                <w:sz w:val="15"/>
              </w:rPr>
              <w:t>Responsibility</w:t>
            </w:r>
          </w:p>
        </w:tc>
      </w:tr>
      <w:tr>
        <w:tc>
          <w:tcPr>
            <w:tcW w:type="dxa" w:w="3504"/>
            <w:vAlign w:val="center"/>
          </w:tcPr>
          <w:p>
            <w:pPr>
              <w:spacing w:after="0"/>
            </w:pPr>
            <w:r>
              <w:rPr>
                <w:sz w:val="15"/>
              </w:rPr>
              <w:t>Order Manager Component</w:t>
            </w:r>
          </w:p>
        </w:tc>
        <w:tc>
          <w:tcPr>
            <w:tcW w:type="dxa" w:w="3504"/>
            <w:vAlign w:val="center"/>
          </w:tcPr>
          <w:p>
            <w:pPr>
              <w:spacing w:after="0"/>
            </w:pPr>
            <w:r>
              <w:rPr>
                <w:sz w:val="15"/>
              </w:rPr>
              <w:t>Given</w:t>
            </w:r>
          </w:p>
        </w:tc>
        <w:tc>
          <w:tcPr>
            <w:tcW w:type="dxa" w:w="3504"/>
            <w:vAlign w:val="center"/>
          </w:tcPr>
          <w:p>
            <w:pPr>
              <w:spacing w:after="0"/>
            </w:pPr>
            <w:r>
              <w:rPr>
                <w:sz w:val="15"/>
              </w:rPr>
              <w:t>Handles booking, pre-order and payment flow.</w:t>
            </w:r>
          </w:p>
        </w:tc>
      </w:tr>
      <w:tr>
        <w:tc>
          <w:tcPr>
            <w:tcW w:type="dxa" w:w="3504"/>
            <w:vAlign w:val="center"/>
          </w:tcPr>
          <w:p>
            <w:pPr>
              <w:spacing w:after="0"/>
            </w:pPr>
            <w:r>
              <w:rPr>
                <w:sz w:val="15"/>
              </w:rPr>
              <w:t>Payment Service Component</w:t>
            </w:r>
          </w:p>
        </w:tc>
        <w:tc>
          <w:tcPr>
            <w:tcW w:type="dxa" w:w="3504"/>
            <w:vAlign w:val="center"/>
          </w:tcPr>
          <w:p>
            <w:pPr>
              <w:spacing w:after="0"/>
            </w:pPr>
            <w:r>
              <w:rPr>
                <w:sz w:val="15"/>
              </w:rPr>
              <w:t>Given</w:t>
            </w:r>
          </w:p>
        </w:tc>
        <w:tc>
          <w:tcPr>
            <w:tcW w:type="dxa" w:w="3504"/>
            <w:vAlign w:val="center"/>
          </w:tcPr>
          <w:p>
            <w:pPr>
              <w:spacing w:after="0"/>
            </w:pPr>
            <w:r>
              <w:rPr>
                <w:sz w:val="15"/>
              </w:rPr>
              <w:t>Connects to the payment gateway and uses tokens instead of raw card data.</w:t>
            </w:r>
          </w:p>
        </w:tc>
      </w:tr>
      <w:tr>
        <w:tc>
          <w:tcPr>
            <w:tcW w:type="dxa" w:w="3504"/>
            <w:vAlign w:val="center"/>
          </w:tcPr>
          <w:p>
            <w:pPr>
              <w:spacing w:after="0"/>
            </w:pPr>
            <w:r>
              <w:rPr>
                <w:sz w:val="15"/>
              </w:rPr>
              <w:t>Table Availability Service</w:t>
            </w:r>
          </w:p>
        </w:tc>
        <w:tc>
          <w:tcPr>
            <w:tcW w:type="dxa" w:w="3504"/>
            <w:vAlign w:val="center"/>
          </w:tcPr>
          <w:p>
            <w:pPr>
              <w:spacing w:after="0"/>
            </w:pPr>
            <w:r>
              <w:rPr>
                <w:sz w:val="15"/>
              </w:rPr>
              <w:t>Identified</w:t>
            </w:r>
          </w:p>
        </w:tc>
        <w:tc>
          <w:tcPr>
            <w:tcW w:type="dxa" w:w="3504"/>
            <w:vAlign w:val="center"/>
          </w:tcPr>
          <w:p>
            <w:pPr>
              <w:spacing w:after="0"/>
            </w:pPr>
            <w:r>
              <w:rPr>
                <w:sz w:val="15"/>
              </w:rPr>
              <w:t>Maintains table status and sends updates to terminals.</w:t>
            </w:r>
          </w:p>
        </w:tc>
      </w:tr>
      <w:tr>
        <w:tc>
          <w:tcPr>
            <w:tcW w:type="dxa" w:w="3504"/>
            <w:vAlign w:val="center"/>
          </w:tcPr>
          <w:p>
            <w:pPr>
              <w:spacing w:after="0"/>
            </w:pPr>
            <w:r>
              <w:rPr>
                <w:sz w:val="15"/>
              </w:rPr>
              <w:t>Kitchen Prep Scheduler</w:t>
            </w:r>
          </w:p>
        </w:tc>
        <w:tc>
          <w:tcPr>
            <w:tcW w:type="dxa" w:w="3504"/>
            <w:vAlign w:val="center"/>
          </w:tcPr>
          <w:p>
            <w:pPr>
              <w:spacing w:after="0"/>
            </w:pPr>
            <w:r>
              <w:rPr>
                <w:sz w:val="15"/>
              </w:rPr>
              <w:t>Identified</w:t>
            </w:r>
          </w:p>
        </w:tc>
        <w:tc>
          <w:tcPr>
            <w:tcW w:type="dxa" w:w="3504"/>
            <w:vAlign w:val="center"/>
          </w:tcPr>
          <w:p>
            <w:pPr>
              <w:spacing w:after="0"/>
            </w:pPr>
            <w:r>
              <w:rPr>
                <w:sz w:val="15"/>
              </w:rPr>
              <w:t>Calculates preparation times and sends tasks to the KDS.</w:t>
            </w:r>
          </w:p>
        </w:tc>
      </w:tr>
      <w:tr>
        <w:tc>
          <w:tcPr>
            <w:tcW w:type="dxa" w:w="3504"/>
            <w:vAlign w:val="center"/>
          </w:tcPr>
          <w:p>
            <w:pPr>
              <w:spacing w:after="0"/>
            </w:pPr>
            <w:r>
              <w:rPr>
                <w:sz w:val="15"/>
              </w:rPr>
              <w:t>Menu &amp; Catalog Service</w:t>
            </w:r>
          </w:p>
        </w:tc>
        <w:tc>
          <w:tcPr>
            <w:tcW w:type="dxa" w:w="3504"/>
            <w:vAlign w:val="center"/>
          </w:tcPr>
          <w:p>
            <w:pPr>
              <w:spacing w:after="0"/>
            </w:pPr>
            <w:r>
              <w:rPr>
                <w:sz w:val="15"/>
              </w:rPr>
              <w:t>Identified</w:t>
            </w:r>
          </w:p>
        </w:tc>
        <w:tc>
          <w:tcPr>
            <w:tcW w:type="dxa" w:w="3504"/>
            <w:vAlign w:val="center"/>
          </w:tcPr>
          <w:p>
            <w:pPr>
              <w:spacing w:after="0"/>
            </w:pPr>
            <w:r>
              <w:rPr>
                <w:sz w:val="15"/>
              </w:rPr>
              <w:t>Provides menu items, prices and preparation times.</w:t>
            </w:r>
          </w:p>
        </w:tc>
      </w:tr>
      <w:tr>
        <w:tc>
          <w:tcPr>
            <w:tcW w:type="dxa" w:w="3504"/>
            <w:vAlign w:val="center"/>
          </w:tcPr>
          <w:p>
            <w:pPr>
              <w:spacing w:after="0"/>
            </w:pPr>
            <w:r>
              <w:rPr>
                <w:sz w:val="15"/>
              </w:rPr>
              <w:t>API Gateway</w:t>
            </w:r>
          </w:p>
        </w:tc>
        <w:tc>
          <w:tcPr>
            <w:tcW w:type="dxa" w:w="3504"/>
            <w:vAlign w:val="center"/>
          </w:tcPr>
          <w:p>
            <w:pPr>
              <w:spacing w:after="0"/>
            </w:pPr>
            <w:r>
              <w:rPr>
                <w:sz w:val="15"/>
              </w:rPr>
              <w:t>Identified</w:t>
            </w:r>
          </w:p>
        </w:tc>
        <w:tc>
          <w:tcPr>
            <w:tcW w:type="dxa" w:w="3504"/>
            <w:vAlign w:val="center"/>
          </w:tcPr>
          <w:p>
            <w:pPr>
              <w:spacing w:after="0"/>
            </w:pPr>
            <w:r>
              <w:rPr>
                <w:sz w:val="15"/>
              </w:rPr>
              <w:t>Entry point for the diner app and manager terminals; handles authentication and routing.</w:t>
            </w:r>
          </w:p>
        </w:tc>
      </w:tr>
    </w:tbl>
    <w:p>
      <w:pPr>
        <w:spacing w:before="60"/>
      </w:pPr>
      <w:r>
        <w:rPr>
          <w:i/>
          <w:sz w:val="14"/>
        </w:rPr>
        <w:t>Interfaces shown include IBookingAPI, IFloorOpsAPI, IReservation, IMenuCatalog, IPrepSchedule, IPayment, ITableAvailability and IFloorStatusStream. The diagram also shows dependencies on the Payment Gateway, Kitchen Display System and each service's data store.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