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rPr>
        <w:t xml:space="preserve">Quarterly Sales Performance Report</w:t>
      </w:r>
    </w:p>
    <w:p>
      <w:pPr>
        <w:spacing w:after="240"/>
      </w:pPr>
      <w:r>
        <w:rPr>
          <w:color w:val="666666"/>
          <w:sz w:val="18"/>
          <w:szCs w:val="18"/>
        </w:rPr>
        <w:t xml:space="preserve">Contoso Electronics · Sales Operations · Quarter: Q1 2026 · Prepared by: Sales Operations Analytics</w:t>
      </w:r>
    </w:p>
    <w:p>
      <w:pPr>
        <w:pStyle w:val="Heading2"/>
        <w:spacing w:after="100" w:before="220"/>
      </w:pPr>
      <w:r>
        <w:rPr>
          <w:b/>
          <w:bCs/>
        </w:rPr>
        <w:t xml:space="preserve">1. Executive Summary</w:t>
      </w:r>
    </w:p>
    <w:p>
      <w:pPr>
        <w:spacing w:after="120"/>
      </w:pPr>
      <w:r>
        <w:rPr>
          <w:sz w:val="21"/>
          <w:szCs w:val="21"/>
        </w:rPr>
        <w:t xml:space="preserve">Contoso Electronics closed Q1 2026 with total revenue of $18.4 million, an increase of 11% over Q4 2025 and 9% over Q1 2025. Growth was driven primarily by strong performance in the North and West regions and by the ERP modernization deals originated through the Project Orion customer pipeline, which contributed $2.1 million in new bookings during the quarter.</w:t>
      </w:r>
    </w:p>
    <w:p>
      <w:pPr>
        <w:pStyle w:val="Heading2"/>
        <w:spacing w:after="100" w:before="220"/>
      </w:pPr>
      <w:r>
        <w:rPr>
          <w:b/>
          <w:bCs/>
        </w:rPr>
        <w:t xml:space="preserve">2. Sales Trends</w:t>
      </w:r>
    </w:p>
    <w:p>
      <w:pPr>
        <w:spacing w:after="120"/>
      </w:pPr>
      <w:r>
        <w:rPr>
          <w:sz w:val="21"/>
          <w:szCs w:val="21"/>
        </w:rPr>
        <w:t xml:space="preserve">New bookings grew steadily through the quarter, with January and March both outperforming February, which is consistent with the seasonal dip typically seen around the fiscal-year planning cycle at customer organizations. The average deal size increased from $58,000 in Q4 2025 to $64,500 in Q1 2026, reflecting a shift toward larger enterprise accounts rather than a higher volume of small transactions. Win rate on qualified opportunities held steady at 34%, in line with the trailing four-quarter average.</w:t>
      </w:r>
    </w:p>
    <w:p>
      <w:pPr>
        <w:spacing w:after="120"/>
      </w:pPr>
      <w:r>
        <w:rPr>
          <w:sz w:val="21"/>
          <w:szCs w:val="21"/>
        </w:rPr>
        <w:t xml:space="preserve">The most notable trend this quarter is the acceleration of the enterprise segment: deals above $100,000 in value now represent 42% of total bookings, up from 31% a year ago. This has lengthened the average sales cycle slightly, from 68 days to 74 days, as larger deals require more stakeholders in the approval process.</w:t>
      </w:r>
    </w:p>
    <w:p>
      <w:pPr>
        <w:pStyle w:val="Heading2"/>
        <w:spacing w:after="100" w:before="220"/>
      </w:pPr>
      <w:r>
        <w:rPr>
          <w:b/>
          <w:bCs/>
        </w:rPr>
        <w:t xml:space="preserve">3. Regional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4300"/>
      </w:tblGrid>
      <w:tr>
        <w:tc>
          <w:tcPr>
            <w:tcW w:type="dxa" w:w="1600"/>
            <w:shd w:fill="1F4E79" w:val="clear"/>
            <w:tcMar>
              <w:top w:type="dxa" w:w="60"/>
              <w:left w:type="dxa" w:w="100"/>
              <w:bottom w:type="dxa" w:w="60"/>
              <w:right w:type="dxa" w:w="100"/>
            </w:tcMar>
          </w:tcPr>
          <w:p>
            <w:r>
              <w:rPr>
                <w:b/>
                <w:bCs/>
                <w:color w:val="FFFFFF"/>
                <w:sz w:val="19"/>
                <w:szCs w:val="19"/>
              </w:rPr>
              <w:t xml:space="preserve">Region</w:t>
            </w:r>
          </w:p>
        </w:tc>
        <w:tc>
          <w:tcPr>
            <w:tcW w:type="dxa" w:w="1800"/>
            <w:shd w:fill="1F4E79" w:val="clear"/>
            <w:tcMar>
              <w:top w:type="dxa" w:w="60"/>
              <w:left w:type="dxa" w:w="100"/>
              <w:bottom w:type="dxa" w:w="60"/>
              <w:right w:type="dxa" w:w="100"/>
            </w:tcMar>
          </w:tcPr>
          <w:p>
            <w:r>
              <w:rPr>
                <w:b/>
                <w:bCs/>
                <w:color w:val="FFFFFF"/>
                <w:sz w:val="19"/>
                <w:szCs w:val="19"/>
              </w:rPr>
              <w:t xml:space="preserve">Q1 2026 Revenue</w:t>
            </w:r>
          </w:p>
        </w:tc>
        <w:tc>
          <w:tcPr>
            <w:tcW w:type="dxa" w:w="1500"/>
            <w:shd w:fill="1F4E79" w:val="clear"/>
            <w:tcMar>
              <w:top w:type="dxa" w:w="60"/>
              <w:left w:type="dxa" w:w="100"/>
              <w:bottom w:type="dxa" w:w="60"/>
              <w:right w:type="dxa" w:w="100"/>
            </w:tcMar>
          </w:tcPr>
          <w:p>
            <w:r>
              <w:rPr>
                <w:b/>
                <w:bCs/>
                <w:color w:val="FFFFFF"/>
                <w:sz w:val="19"/>
                <w:szCs w:val="19"/>
              </w:rPr>
              <w:t xml:space="preserve">QoQ Growth</w:t>
            </w:r>
          </w:p>
        </w:tc>
        <w:tc>
          <w:tcPr>
            <w:tcW w:type="dxa" w:w="4300"/>
            <w:shd w:fill="1F4E79" w:val="clear"/>
            <w:tcMar>
              <w:top w:type="dxa" w:w="60"/>
              <w:left w:type="dxa" w:w="100"/>
              <w:bottom w:type="dxa" w:w="60"/>
              <w:right w:type="dxa" w:w="100"/>
            </w:tcMar>
          </w:tcPr>
          <w:p>
            <w:r>
              <w:rPr>
                <w:b/>
                <w:bCs/>
                <w:color w:val="FFFFFF"/>
                <w:sz w:val="19"/>
                <w:szCs w:val="19"/>
              </w:rPr>
              <w:t xml:space="preserve">Notes</w:t>
            </w:r>
          </w:p>
        </w:tc>
      </w:tr>
      <w:tr>
        <w:tc>
          <w:tcPr>
            <w:tcW w:type="dxa" w:w="1600"/>
            <w:tcMar>
              <w:top w:type="dxa" w:w="60"/>
              <w:left w:type="dxa" w:w="100"/>
              <w:bottom w:type="dxa" w:w="60"/>
              <w:right w:type="dxa" w:w="100"/>
            </w:tcMar>
          </w:tcPr>
          <w:p>
            <w:r>
              <w:rPr>
                <w:b w:val="false"/>
                <w:bCs w:val="false"/>
                <w:color w:val="000000"/>
                <w:sz w:val="19"/>
                <w:szCs w:val="19"/>
              </w:rPr>
              <w:t xml:space="preserve">North</w:t>
            </w:r>
          </w:p>
        </w:tc>
        <w:tc>
          <w:tcPr>
            <w:tcW w:type="dxa" w:w="1800"/>
            <w:tcMar>
              <w:top w:type="dxa" w:w="60"/>
              <w:left w:type="dxa" w:w="100"/>
              <w:bottom w:type="dxa" w:w="60"/>
              <w:right w:type="dxa" w:w="100"/>
            </w:tcMar>
          </w:tcPr>
          <w:p>
            <w:r>
              <w:rPr>
                <w:b w:val="false"/>
                <w:bCs w:val="false"/>
                <w:color w:val="000000"/>
                <w:sz w:val="19"/>
                <w:szCs w:val="19"/>
              </w:rPr>
              <w:t xml:space="preserve">$6.2M</w:t>
            </w:r>
          </w:p>
        </w:tc>
        <w:tc>
          <w:tcPr>
            <w:tcW w:type="dxa" w:w="1500"/>
            <w:tcMar>
              <w:top w:type="dxa" w:w="60"/>
              <w:left w:type="dxa" w:w="100"/>
              <w:bottom w:type="dxa" w:w="60"/>
              <w:right w:type="dxa" w:w="100"/>
            </w:tcMar>
          </w:tcPr>
          <w:p>
            <w:r>
              <w:rPr>
                <w:b w:val="false"/>
                <w:bCs w:val="false"/>
                <w:color w:val="000000"/>
                <w:sz w:val="19"/>
                <w:szCs w:val="19"/>
              </w:rPr>
              <w:t xml:space="preserve">+14%</w:t>
            </w:r>
          </w:p>
        </w:tc>
        <w:tc>
          <w:tcPr>
            <w:tcW w:type="dxa" w:w="4300"/>
            <w:tcMar>
              <w:top w:type="dxa" w:w="60"/>
              <w:left w:type="dxa" w:w="100"/>
              <w:bottom w:type="dxa" w:w="60"/>
              <w:right w:type="dxa" w:w="100"/>
            </w:tcMar>
          </w:tcPr>
          <w:p>
            <w:r>
              <w:rPr>
                <w:b w:val="false"/>
                <w:bCs w:val="false"/>
                <w:color w:val="000000"/>
                <w:sz w:val="19"/>
                <w:szCs w:val="19"/>
              </w:rPr>
              <w:t xml:space="preserve">Strongest quarter driven by Northwind Retail and Adventure Works renewals</w:t>
            </w:r>
          </w:p>
        </w:tc>
      </w:tr>
      <w:tr>
        <w:tc>
          <w:tcPr>
            <w:tcW w:type="dxa" w:w="1600"/>
            <w:tcMar>
              <w:top w:type="dxa" w:w="60"/>
              <w:left w:type="dxa" w:w="100"/>
              <w:bottom w:type="dxa" w:w="60"/>
              <w:right w:type="dxa" w:w="100"/>
            </w:tcMar>
          </w:tcPr>
          <w:p>
            <w:r>
              <w:rPr>
                <w:b w:val="false"/>
                <w:bCs w:val="false"/>
                <w:color w:val="000000"/>
                <w:sz w:val="19"/>
                <w:szCs w:val="19"/>
              </w:rPr>
              <w:t xml:space="preserve">West</w:t>
            </w:r>
          </w:p>
        </w:tc>
        <w:tc>
          <w:tcPr>
            <w:tcW w:type="dxa" w:w="1800"/>
            <w:tcMar>
              <w:top w:type="dxa" w:w="60"/>
              <w:left w:type="dxa" w:w="100"/>
              <w:bottom w:type="dxa" w:w="60"/>
              <w:right w:type="dxa" w:w="100"/>
            </w:tcMar>
          </w:tcPr>
          <w:p>
            <w:r>
              <w:rPr>
                <w:b w:val="false"/>
                <w:bCs w:val="false"/>
                <w:color w:val="000000"/>
                <w:sz w:val="19"/>
                <w:szCs w:val="19"/>
              </w:rPr>
              <w:t xml:space="preserve">$5.1M</w:t>
            </w:r>
          </w:p>
        </w:tc>
        <w:tc>
          <w:tcPr>
            <w:tcW w:type="dxa" w:w="1500"/>
            <w:tcMar>
              <w:top w:type="dxa" w:w="60"/>
              <w:left w:type="dxa" w:w="100"/>
              <w:bottom w:type="dxa" w:w="60"/>
              <w:right w:type="dxa" w:w="100"/>
            </w:tcMar>
          </w:tcPr>
          <w:p>
            <w:r>
              <w:rPr>
                <w:b w:val="false"/>
                <w:bCs w:val="false"/>
                <w:color w:val="000000"/>
                <w:sz w:val="19"/>
                <w:szCs w:val="19"/>
              </w:rPr>
              <w:t xml:space="preserve">+13%</w:t>
            </w:r>
          </w:p>
        </w:tc>
        <w:tc>
          <w:tcPr>
            <w:tcW w:type="dxa" w:w="4300"/>
            <w:tcMar>
              <w:top w:type="dxa" w:w="60"/>
              <w:left w:type="dxa" w:w="100"/>
              <w:bottom w:type="dxa" w:w="60"/>
              <w:right w:type="dxa" w:w="100"/>
            </w:tcMar>
          </w:tcPr>
          <w:p>
            <w:r>
              <w:rPr>
                <w:b w:val="false"/>
                <w:bCs w:val="false"/>
                <w:color w:val="000000"/>
                <w:sz w:val="19"/>
                <w:szCs w:val="19"/>
              </w:rPr>
              <w:t xml:space="preserve">New logo growth in manufacturing vertical</w:t>
            </w:r>
          </w:p>
        </w:tc>
      </w:tr>
      <w:tr>
        <w:tc>
          <w:tcPr>
            <w:tcW w:type="dxa" w:w="1600"/>
            <w:tcMar>
              <w:top w:type="dxa" w:w="60"/>
              <w:left w:type="dxa" w:w="100"/>
              <w:bottom w:type="dxa" w:w="60"/>
              <w:right w:type="dxa" w:w="100"/>
            </w:tcMar>
          </w:tcPr>
          <w:p>
            <w:r>
              <w:rPr>
                <w:b w:val="false"/>
                <w:bCs w:val="false"/>
                <w:color w:val="000000"/>
                <w:sz w:val="19"/>
                <w:szCs w:val="19"/>
              </w:rPr>
              <w:t xml:space="preserve">South</w:t>
            </w:r>
          </w:p>
        </w:tc>
        <w:tc>
          <w:tcPr>
            <w:tcW w:type="dxa" w:w="1800"/>
            <w:tcMar>
              <w:top w:type="dxa" w:w="60"/>
              <w:left w:type="dxa" w:w="100"/>
              <w:bottom w:type="dxa" w:w="60"/>
              <w:right w:type="dxa" w:w="100"/>
            </w:tcMar>
          </w:tcPr>
          <w:p>
            <w:r>
              <w:rPr>
                <w:b w:val="false"/>
                <w:bCs w:val="false"/>
                <w:color w:val="000000"/>
                <w:sz w:val="19"/>
                <w:szCs w:val="19"/>
              </w:rPr>
              <w:t xml:space="preserve">$3.9M</w:t>
            </w:r>
          </w:p>
        </w:tc>
        <w:tc>
          <w:tcPr>
            <w:tcW w:type="dxa" w:w="1500"/>
            <w:tcMar>
              <w:top w:type="dxa" w:w="60"/>
              <w:left w:type="dxa" w:w="100"/>
              <w:bottom w:type="dxa" w:w="60"/>
              <w:right w:type="dxa" w:w="100"/>
            </w:tcMar>
          </w:tcPr>
          <w:p>
            <w:r>
              <w:rPr>
                <w:b w:val="false"/>
                <w:bCs w:val="false"/>
                <w:color w:val="000000"/>
                <w:sz w:val="19"/>
                <w:szCs w:val="19"/>
              </w:rPr>
              <w:t xml:space="preserve">+6%</w:t>
            </w:r>
          </w:p>
        </w:tc>
        <w:tc>
          <w:tcPr>
            <w:tcW w:type="dxa" w:w="4300"/>
            <w:tcMar>
              <w:top w:type="dxa" w:w="60"/>
              <w:left w:type="dxa" w:w="100"/>
              <w:bottom w:type="dxa" w:w="60"/>
              <w:right w:type="dxa" w:w="100"/>
            </w:tcMar>
          </w:tcPr>
          <w:p>
            <w:r>
              <w:rPr>
                <w:b w:val="false"/>
                <w:bCs w:val="false"/>
                <w:color w:val="000000"/>
                <w:sz w:val="19"/>
                <w:szCs w:val="19"/>
              </w:rPr>
              <w:t xml:space="preserve">Steady performance, no major shifts</w:t>
            </w:r>
          </w:p>
        </w:tc>
      </w:tr>
      <w:tr>
        <w:tc>
          <w:tcPr>
            <w:tcW w:type="dxa" w:w="1600"/>
            <w:tcMar>
              <w:top w:type="dxa" w:w="60"/>
              <w:left w:type="dxa" w:w="100"/>
              <w:bottom w:type="dxa" w:w="60"/>
              <w:right w:type="dxa" w:w="100"/>
            </w:tcMar>
          </w:tcPr>
          <w:p>
            <w:r>
              <w:rPr>
                <w:b w:val="false"/>
                <w:bCs w:val="false"/>
                <w:color w:val="000000"/>
                <w:sz w:val="19"/>
                <w:szCs w:val="19"/>
              </w:rPr>
              <w:t xml:space="preserve">East</w:t>
            </w:r>
          </w:p>
        </w:tc>
        <w:tc>
          <w:tcPr>
            <w:tcW w:type="dxa" w:w="1800"/>
            <w:tcMar>
              <w:top w:type="dxa" w:w="60"/>
              <w:left w:type="dxa" w:w="100"/>
              <w:bottom w:type="dxa" w:w="60"/>
              <w:right w:type="dxa" w:w="100"/>
            </w:tcMar>
          </w:tcPr>
          <w:p>
            <w:r>
              <w:rPr>
                <w:b w:val="false"/>
                <w:bCs w:val="false"/>
                <w:color w:val="000000"/>
                <w:sz w:val="19"/>
                <w:szCs w:val="19"/>
              </w:rPr>
              <w:t xml:space="preserve">$3.2M</w:t>
            </w:r>
          </w:p>
        </w:tc>
        <w:tc>
          <w:tcPr>
            <w:tcW w:type="dxa" w:w="1500"/>
            <w:tcMar>
              <w:top w:type="dxa" w:w="60"/>
              <w:left w:type="dxa" w:w="100"/>
              <w:bottom w:type="dxa" w:w="60"/>
              <w:right w:type="dxa" w:w="100"/>
            </w:tcMar>
          </w:tcPr>
          <w:p>
            <w:r>
              <w:rPr>
                <w:b w:val="false"/>
                <w:bCs w:val="false"/>
                <w:color w:val="000000"/>
                <w:sz w:val="19"/>
                <w:szCs w:val="19"/>
              </w:rPr>
              <w:t xml:space="preserve">+4%</w:t>
            </w:r>
          </w:p>
        </w:tc>
        <w:tc>
          <w:tcPr>
            <w:tcW w:type="dxa" w:w="4300"/>
            <w:tcMar>
              <w:top w:type="dxa" w:w="60"/>
              <w:left w:type="dxa" w:w="100"/>
              <w:bottom w:type="dxa" w:w="60"/>
              <w:right w:type="dxa" w:w="100"/>
            </w:tcMar>
          </w:tcPr>
          <w:p>
            <w:r>
              <w:rPr>
                <w:b w:val="false"/>
                <w:bCs w:val="false"/>
                <w:color w:val="000000"/>
                <w:sz w:val="19"/>
                <w:szCs w:val="19"/>
              </w:rPr>
              <w:t xml:space="preserve">Slower quarter; two large deals slipped into Q2</w:t>
            </w:r>
          </w:p>
        </w:tc>
      </w:tr>
    </w:tbl>
    <w:p>
      <w:pPr>
        <w:pStyle w:val="Heading2"/>
        <w:spacing w:after="100" w:before="220"/>
      </w:pPr>
      <w:r>
        <w:rPr>
          <w:b/>
          <w:bCs/>
        </w:rPr>
        <w:t xml:space="preserve">4. Revenue Comparison</w:t>
      </w:r>
    </w:p>
    <w:p>
      <w:pPr>
        <w:spacing w:after="120"/>
      </w:pPr>
      <w:r>
        <w:rPr>
          <w:sz w:val="21"/>
          <w:szCs w:val="21"/>
        </w:rPr>
        <w:t xml:space="preserve">Comparing the trailing four quarters shows a consistent upward trajectory: Q2 2025 at $15.9M, Q3 2025 at $16.8M, Q4 2025 at $16.6M, and Q1 2026 at $18.4M. The dip between Q3 and Q4 2025 reflected a pause in enterprise procurement cycles typical of the fourth calendar quarter for several key accounts, followed by a rebound as those deals closed early in Q1. Year-over-year, Q1 2026 revenue is 9% ahead of Q1 2025, ahead of the annual growth target of 7%.</w:t>
      </w:r>
    </w:p>
    <w:p>
      <w:pPr>
        <w:pStyle w:val="Heading2"/>
        <w:spacing w:after="100" w:before="220"/>
      </w:pPr>
      <w:r>
        <w:rPr>
          <w:b/>
          <w:bCs/>
        </w:rPr>
        <w:t xml:space="preserve">5. Recommendations</w:t>
      </w:r>
    </w:p>
    <w:p>
      <w:pPr>
        <w:spacing w:after="60"/>
        <w:ind w:left="360"/>
      </w:pPr>
      <w:r>
        <w:rPr>
          <w:sz w:val="21"/>
          <w:szCs w:val="21"/>
        </w:rPr>
        <w:t xml:space="preserve">• Continue investing in the enterprise segment given its outsized contribution to bookings growth, including additional solutions-engineering support for complex deals.</w:t>
      </w:r>
    </w:p>
    <w:p>
      <w:pPr>
        <w:spacing w:after="60"/>
        <w:ind w:left="360"/>
      </w:pPr>
      <w:r>
        <w:rPr>
          <w:sz w:val="21"/>
          <w:szCs w:val="21"/>
        </w:rPr>
        <w:t xml:space="preserve">• Address the East region’s slower growth with a targeted account-review session to understand why two large deals slipped, and whether pricing or implementation-timeline concerns were a factor.</w:t>
      </w:r>
    </w:p>
    <w:p>
      <w:pPr>
        <w:spacing w:after="60"/>
        <w:ind w:left="360"/>
      </w:pPr>
      <w:r>
        <w:rPr>
          <w:sz w:val="21"/>
          <w:szCs w:val="21"/>
        </w:rPr>
        <w:t xml:space="preserve">• Monitor sales-cycle length as the enterprise mix grows; consider a dedicated enterprise deal-desk to keep approval cycles from extending further.</w:t>
      </w:r>
    </w:p>
    <w:p>
      <w:pPr>
        <w:spacing w:after="60"/>
        <w:ind w:left="360"/>
      </w:pPr>
      <w:r>
        <w:rPr>
          <w:sz w:val="21"/>
          <w:szCs w:val="21"/>
        </w:rPr>
        <w:t xml:space="preserve">• Leverage the Project Orion reference customers (Adventure Works, Northwind Retail) in case studies to support pipeline generation for similar ERP modernization deals in Q2.</w:t>
      </w:r>
    </w:p>
    <w:p>
      <w:pPr>
        <w:pStyle w:val="Heading2"/>
        <w:spacing w:after="100" w:before="220"/>
      </w:pPr>
      <w:r>
        <w:rPr>
          <w:b/>
          <w:bCs/>
        </w:rPr>
        <w:t xml:space="preserve">6. Top Performing Products</w:t>
      </w:r>
    </w:p>
    <w:p>
      <w:pPr>
        <w:spacing w:after="120"/>
      </w:pPr>
      <w:r>
        <w:rPr>
          <w:sz w:val="21"/>
          <w:szCs w:val="21"/>
        </w:rPr>
        <w:t xml:space="preserve">The ERP modernization bundle, which includes the core Project Orion licensing plus implementation services, was the single largest contributor to new bookings this quarter at $4.8 million, followed by the standalone Supply Chain module at $2.6 million and the Finance module at $2.1 million. Add-on modules, including the Procurement workflow package, grew 22% quarter over quarter as existing ERP customers expanded their footprint rather than churning to competitor products. This expansion revenue is an encouraging signal that the initial Project Orion rollouts are landing well with customers and creating a natural upsell motion for the sales team to pursue in adjacent departments.</w:t>
      </w:r>
    </w:p>
    <w:p>
      <w:pPr>
        <w:pStyle w:val="Heading2"/>
        <w:spacing w:after="100" w:before="220"/>
      </w:pPr>
      <w:r>
        <w:rPr>
          <w:b/>
          <w:bCs/>
        </w:rPr>
        <w:t xml:space="preserve">7. Pipeline Outlook for Q2</w:t>
      </w:r>
    </w:p>
    <w:p>
      <w:pPr>
        <w:spacing w:after="120"/>
      </w:pPr>
      <w:r>
        <w:rPr>
          <w:sz w:val="21"/>
          <w:szCs w:val="21"/>
        </w:rPr>
        <w:t xml:space="preserve">Qualified pipeline entering Q2 2026 stands at $31.2 million, up from $27.4 million entering Q1, giving the sales team a healthy coverage ratio against the quarterly target. The Fourth Coffee quarterly business review and the Tailspin Toys renewal conversation are both flagged as key accounts to watch, given their combined potential value of $1.4 million. Sales leadership will review the top twenty opportunities in detail during the upcoming Quarterly Business Review meeting, with particular attention to any deals at risk of slipping past their expected close date.</w:t>
      </w:r>
    </w:p>
    <w:p>
      <w:pPr>
        <w:spacing w:after="120"/>
      </w:pPr>
      <w:r>
        <w:rPr>
          <w:sz w:val="21"/>
          <w:szCs w:val="21"/>
        </w:rPr>
        <w:t xml:space="preserve">This report is distributed to the Sales Leadership team and the Executive Steering Committee ahead of the Quarterly Business Review.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2026-07-13T09:40:35.818Z</dcterms:created>
  <dcterms:modified xsi:type="dcterms:W3CDTF">2026-07-13T09:40:35.818Z</dcterms:modified>
</cp:coreProperties>
</file>

<file path=docProps/custom.xml><?xml version="1.0" encoding="utf-8"?>
<Properties xmlns="http://schemas.openxmlformats.org/officeDocument/2006/custom-properties" xmlns:vt="http://schemas.openxmlformats.org/officeDocument/2006/docPropsVTypes"/>
</file>