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b/>
          <w:bCs/>
        </w:rPr>
        <w:t xml:space="preserve">Executive Steering Committee — Meeting Minutes</w:t>
      </w:r>
    </w:p>
    <w:p>
      <w:pPr>
        <w:spacing w:after="240"/>
      </w:pPr>
      <w:r>
        <w:rPr>
          <w:color w:val="666666"/>
          <w:sz w:val="18"/>
          <w:szCs w:val="18"/>
        </w:rPr>
        <w:t xml:space="preserve">Contoso Electronics · Project Orion · Meeting date: March 18, 2026, 2:00–3:00 PM · Location: Microsoft Teams</w:t>
      </w:r>
    </w:p>
    <w:p>
      <w:pPr>
        <w:pStyle w:val="Heading2"/>
        <w:spacing w:after="100" w:before="220"/>
      </w:pPr>
      <w:r>
        <w:rPr>
          <w:b/>
          <w:bCs/>
        </w:rPr>
        <w:t xml:space="preserve">Attendees</w:t>
      </w:r>
    </w:p>
    <w:p>
      <w:pPr>
        <w:spacing w:after="120"/>
      </w:pPr>
      <w:r>
        <w:rPr>
          <w:sz w:val="21"/>
          <w:szCs w:val="21"/>
        </w:rPr>
        <w:t xml:space="preserve">CEO Office (Executive Sponsor), CIO (Project Sponsor, Chair), PMO Lead, Technical Architect, Finance Director, Infrastructure Lead. Apologies: QA Lead (represented by written testing report circulated ahead of the meeting).</w:t>
      </w:r>
    </w:p>
    <w:p>
      <w:pPr>
        <w:pStyle w:val="Heading2"/>
        <w:spacing w:after="100" w:before="220"/>
      </w:pPr>
      <w:r>
        <w:rPr>
          <w:b/>
          <w:bCs/>
        </w:rPr>
        <w:t xml:space="preserve">1. Project Status Review</w:t>
      </w:r>
    </w:p>
    <w:p>
      <w:pPr>
        <w:spacing w:after="120"/>
      </w:pPr>
      <w:r>
        <w:rPr>
          <w:sz w:val="21"/>
          <w:szCs w:val="21"/>
        </w:rPr>
        <w:t xml:space="preserve">The PMO Lead presented the overall project health as Amber-to-Green: the Architecture and Security workstreams are on track, while the Deployment Readiness workstream is trending one week behind schedule due to a delayed hardware shipment from Dell. The Committee noted this delay does not currently threaten the overall go-live date, provided the revised delivery timeline holds. The Technical Architect added that the architecture review completed earlier this month resolved the last open design question regarding the integration pattern, clearing the way for the build phase to proceed on schedule across all five in-scope business functions.</w:t>
      </w:r>
    </w:p>
    <w:p>
      <w:pPr>
        <w:pStyle w:val="Heading2"/>
        <w:spacing w:after="100" w:before="220"/>
      </w:pPr>
      <w:r>
        <w:rPr>
          <w:b/>
          <w:bCs/>
        </w:rPr>
        <w:t xml:space="preserve">2. Decisions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3400"/>
      </w:tblGrid>
      <w:tr>
        <w:tc>
          <w:tcPr>
            <w:tcW w:type="dxa" w:w="500"/>
            <w:shd w:fill="1F4E79" w:val="clear"/>
            <w:tcMar>
              <w:top w:type="dxa" w:w="60"/>
              <w:left w:type="dxa" w:w="100"/>
              <w:bottom w:type="dxa" w:w="60"/>
              <w:right w:type="dxa" w:w="100"/>
            </w:tcMar>
          </w:tcPr>
          <w:p>
            <w:r>
              <w:rPr>
                <w:b/>
                <w:bCs/>
                <w:color w:val="FFFFFF"/>
                <w:sz w:val="19"/>
                <w:szCs w:val="19"/>
              </w:rPr>
              <w:t xml:space="preserve">#</w:t>
            </w:r>
          </w:p>
        </w:tc>
        <w:tc>
          <w:tcPr>
            <w:tcW w:type="dxa" w:w="4300"/>
            <w:shd w:fill="1F4E79" w:val="clear"/>
            <w:tcMar>
              <w:top w:type="dxa" w:w="60"/>
              <w:left w:type="dxa" w:w="100"/>
              <w:bottom w:type="dxa" w:w="60"/>
              <w:right w:type="dxa" w:w="100"/>
            </w:tcMar>
          </w:tcPr>
          <w:p>
            <w:r>
              <w:rPr>
                <w:b/>
                <w:bCs/>
                <w:color w:val="FFFFFF"/>
                <w:sz w:val="19"/>
                <w:szCs w:val="19"/>
              </w:rPr>
              <w:t xml:space="preserve">Decision</w:t>
            </w:r>
          </w:p>
        </w:tc>
        <w:tc>
          <w:tcPr>
            <w:tcW w:type="dxa" w:w="3400"/>
            <w:shd w:fill="1F4E79" w:val="clear"/>
            <w:tcMar>
              <w:top w:type="dxa" w:w="60"/>
              <w:left w:type="dxa" w:w="100"/>
              <w:bottom w:type="dxa" w:w="60"/>
              <w:right w:type="dxa" w:w="100"/>
            </w:tcMar>
          </w:tcPr>
          <w:p>
            <w:r>
              <w:rPr>
                <w:b/>
                <w:bCs/>
                <w:color w:val="FFFFFF"/>
                <w:sz w:val="19"/>
                <w:szCs w:val="19"/>
              </w:rPr>
              <w:t xml:space="preserve">Rationale</w:t>
            </w:r>
          </w:p>
        </w:tc>
      </w:tr>
      <w:tr>
        <w:tc>
          <w:tcPr>
            <w:tcW w:type="dxa" w:w="500"/>
            <w:tcMar>
              <w:top w:type="dxa" w:w="60"/>
              <w:left w:type="dxa" w:w="100"/>
              <w:bottom w:type="dxa" w:w="60"/>
              <w:right w:type="dxa" w:w="100"/>
            </w:tcMar>
          </w:tcPr>
          <w:p>
            <w:r>
              <w:rPr>
                <w:b w:val="false"/>
                <w:bCs w:val="false"/>
                <w:color w:val="000000"/>
                <w:sz w:val="19"/>
                <w:szCs w:val="19"/>
              </w:rPr>
              <w:t xml:space="preserve">1</w:t>
            </w:r>
          </w:p>
        </w:tc>
        <w:tc>
          <w:tcPr>
            <w:tcW w:type="dxa" w:w="4300"/>
            <w:tcMar>
              <w:top w:type="dxa" w:w="60"/>
              <w:left w:type="dxa" w:w="100"/>
              <w:bottom w:type="dxa" w:w="60"/>
              <w:right w:type="dxa" w:w="100"/>
            </w:tcMar>
          </w:tcPr>
          <w:p>
            <w:r>
              <w:rPr>
                <w:b w:val="false"/>
                <w:bCs w:val="false"/>
                <w:color w:val="000000"/>
                <w:sz w:val="19"/>
                <w:szCs w:val="19"/>
              </w:rPr>
              <w:t xml:space="preserve">Approve the integration pattern proposed by the Architecture team (API-first with a central data hub)</w:t>
            </w:r>
          </w:p>
        </w:tc>
        <w:tc>
          <w:tcPr>
            <w:tcW w:type="dxa" w:w="3400"/>
            <w:tcMar>
              <w:top w:type="dxa" w:w="60"/>
              <w:left w:type="dxa" w:w="100"/>
              <w:bottom w:type="dxa" w:w="60"/>
              <w:right w:type="dxa" w:w="100"/>
            </w:tcMar>
          </w:tcPr>
          <w:p>
            <w:r>
              <w:rPr>
                <w:b w:val="false"/>
                <w:bCs w:val="false"/>
                <w:color w:val="000000"/>
                <w:sz w:val="19"/>
                <w:szCs w:val="19"/>
              </w:rPr>
              <w:t xml:space="preserve">Provides the most flexibility for future module additions without re-architecting</w:t>
            </w:r>
          </w:p>
        </w:tc>
      </w:tr>
      <w:tr>
        <w:tc>
          <w:tcPr>
            <w:tcW w:type="dxa" w:w="500"/>
            <w:tcMar>
              <w:top w:type="dxa" w:w="60"/>
              <w:left w:type="dxa" w:w="100"/>
              <w:bottom w:type="dxa" w:w="60"/>
              <w:right w:type="dxa" w:w="100"/>
            </w:tcMar>
          </w:tcPr>
          <w:p>
            <w:r>
              <w:rPr>
                <w:b w:val="false"/>
                <w:bCs w:val="false"/>
                <w:color w:val="000000"/>
                <w:sz w:val="19"/>
                <w:szCs w:val="19"/>
              </w:rPr>
              <w:t xml:space="preserve">2</w:t>
            </w:r>
          </w:p>
        </w:tc>
        <w:tc>
          <w:tcPr>
            <w:tcW w:type="dxa" w:w="4300"/>
            <w:tcMar>
              <w:top w:type="dxa" w:w="60"/>
              <w:left w:type="dxa" w:w="100"/>
              <w:bottom w:type="dxa" w:w="60"/>
              <w:right w:type="dxa" w:w="100"/>
            </w:tcMar>
          </w:tcPr>
          <w:p>
            <w:r>
              <w:rPr>
                <w:b w:val="false"/>
                <w:bCs w:val="false"/>
                <w:color w:val="000000"/>
                <w:sz w:val="19"/>
                <w:szCs w:val="19"/>
              </w:rPr>
              <w:t xml:space="preserve">Approve additional budget of $180,000 for Project Orion</w:t>
            </w:r>
          </w:p>
        </w:tc>
        <w:tc>
          <w:tcPr>
            <w:tcW w:type="dxa" w:w="3400"/>
            <w:tcMar>
              <w:top w:type="dxa" w:w="60"/>
              <w:left w:type="dxa" w:w="100"/>
              <w:bottom w:type="dxa" w:w="60"/>
              <w:right w:type="dxa" w:w="100"/>
            </w:tcMar>
          </w:tcPr>
          <w:p>
            <w:r>
              <w:rPr>
                <w:b w:val="false"/>
                <w:bCs w:val="false"/>
                <w:color w:val="000000"/>
                <w:sz w:val="19"/>
                <w:szCs w:val="19"/>
              </w:rPr>
              <w:t xml:space="preserve">Covers extended implementation-partner support required due to the enterprise segment’s complexity</w:t>
            </w:r>
          </w:p>
        </w:tc>
      </w:tr>
      <w:tr>
        <w:tc>
          <w:tcPr>
            <w:tcW w:type="dxa" w:w="500"/>
            <w:tcMar>
              <w:top w:type="dxa" w:w="60"/>
              <w:left w:type="dxa" w:w="100"/>
              <w:bottom w:type="dxa" w:w="60"/>
              <w:right w:type="dxa" w:w="100"/>
            </w:tcMar>
          </w:tcPr>
          <w:p>
            <w:r>
              <w:rPr>
                <w:b w:val="false"/>
                <w:bCs w:val="false"/>
                <w:color w:val="000000"/>
                <w:sz w:val="19"/>
                <w:szCs w:val="19"/>
              </w:rPr>
              <w:t xml:space="preserve">3</w:t>
            </w:r>
          </w:p>
        </w:tc>
        <w:tc>
          <w:tcPr>
            <w:tcW w:type="dxa" w:w="4300"/>
            <w:tcMar>
              <w:top w:type="dxa" w:w="60"/>
              <w:left w:type="dxa" w:w="100"/>
              <w:bottom w:type="dxa" w:w="60"/>
              <w:right w:type="dxa" w:w="100"/>
            </w:tcMar>
          </w:tcPr>
          <w:p>
            <w:r>
              <w:rPr>
                <w:b w:val="false"/>
                <w:bCs w:val="false"/>
                <w:color w:val="000000"/>
                <w:sz w:val="19"/>
                <w:szCs w:val="19"/>
              </w:rPr>
              <w:t xml:space="preserve">Proceed with the current go-live date, contingent on the Dell shipment arriving on the revised date</w:t>
            </w:r>
          </w:p>
        </w:tc>
        <w:tc>
          <w:tcPr>
            <w:tcW w:type="dxa" w:w="3400"/>
            <w:tcMar>
              <w:top w:type="dxa" w:w="60"/>
              <w:left w:type="dxa" w:w="100"/>
              <w:bottom w:type="dxa" w:w="60"/>
              <w:right w:type="dxa" w:w="100"/>
            </w:tcMar>
          </w:tcPr>
          <w:p>
            <w:r>
              <w:rPr>
                <w:b w:val="false"/>
                <w:bCs w:val="false"/>
                <w:color w:val="000000"/>
                <w:sz w:val="19"/>
                <w:szCs w:val="19"/>
              </w:rPr>
              <w:t xml:space="preserve">Delaying go-live has a higher cost than absorbing a one-week internal buffer</w:t>
            </w:r>
          </w:p>
        </w:tc>
      </w:tr>
    </w:tbl>
    <w:p>
      <w:pPr>
        <w:pStyle w:val="Heading2"/>
        <w:spacing w:after="100" w:before="220"/>
      </w:pPr>
      <w:r>
        <w:rPr>
          <w:b/>
          <w:bCs/>
        </w:rPr>
        <w:t xml:space="preserve">3. Risks Discussed</w:t>
      </w:r>
    </w:p>
    <w:p>
      <w:pPr>
        <w:spacing w:after="60"/>
        <w:ind w:left="360"/>
      </w:pPr>
      <w:r>
        <w:rPr>
          <w:sz w:val="21"/>
          <w:szCs w:val="21"/>
        </w:rPr>
        <w:t xml:space="preserve">• Hardware shipment delay (Dell) — Infrastructure Lead to confirm revised delivery date by end of week and update the deployment readiness checklist accordingly.</w:t>
      </w:r>
    </w:p>
    <w:p>
      <w:pPr>
        <w:spacing w:after="60"/>
        <w:ind w:left="360"/>
      </w:pPr>
      <w:r>
        <w:rPr>
          <w:sz w:val="21"/>
          <w:szCs w:val="21"/>
        </w:rPr>
        <w:t xml:space="preserve">• Security assessment findings — three high-risk vulnerabilities identified; remediation plan and owners already assigned, to be confirmed complete before go-live sign-off.</w:t>
      </w:r>
    </w:p>
    <w:p>
      <w:pPr>
        <w:spacing w:after="60"/>
        <w:ind w:left="360"/>
      </w:pPr>
      <w:r>
        <w:rPr>
          <w:sz w:val="21"/>
          <w:szCs w:val="21"/>
        </w:rPr>
        <w:t xml:space="preserve">• User adoption risk — Committee requested that the training schedule be finalized and communicated to all department leads within two weeks.</w:t>
      </w:r>
    </w:p>
    <w:p>
      <w:pPr>
        <w:pStyle w:val="Heading2"/>
        <w:spacing w:after="100" w:before="220"/>
      </w:pPr>
      <w:r>
        <w:rPr>
          <w:b/>
          <w:bCs/>
        </w:rPr>
        <w:t xml:space="preserve">4. Action Items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2100"/>
        <w:gridCol w:w="1700"/>
      </w:tblGrid>
      <w:tr>
        <w:tc>
          <w:tcPr>
            <w:tcW w:type="dxa" w:w="500"/>
            <w:shd w:fill="1F4E79" w:val="clear"/>
            <w:tcMar>
              <w:top w:type="dxa" w:w="60"/>
              <w:left w:type="dxa" w:w="100"/>
              <w:bottom w:type="dxa" w:w="60"/>
              <w:right w:type="dxa" w:w="100"/>
            </w:tcMar>
          </w:tcPr>
          <w:p>
            <w:r>
              <w:rPr>
                <w:b/>
                <w:bCs/>
                <w:color w:val="FFFFFF"/>
                <w:sz w:val="19"/>
                <w:szCs w:val="19"/>
              </w:rPr>
              <w:t xml:space="preserve">#</w:t>
            </w:r>
          </w:p>
        </w:tc>
        <w:tc>
          <w:tcPr>
            <w:tcW w:type="dxa" w:w="3900"/>
            <w:shd w:fill="1F4E79" w:val="clear"/>
            <w:tcMar>
              <w:top w:type="dxa" w:w="60"/>
              <w:left w:type="dxa" w:w="100"/>
              <w:bottom w:type="dxa" w:w="60"/>
              <w:right w:type="dxa" w:w="100"/>
            </w:tcMar>
          </w:tcPr>
          <w:p>
            <w:r>
              <w:rPr>
                <w:b/>
                <w:bCs/>
                <w:color w:val="FFFFFF"/>
                <w:sz w:val="19"/>
                <w:szCs w:val="19"/>
              </w:rPr>
              <w:t xml:space="preserve">Action</w:t>
            </w:r>
          </w:p>
        </w:tc>
        <w:tc>
          <w:tcPr>
            <w:tcW w:type="dxa" w:w="2100"/>
            <w:shd w:fill="1F4E79" w:val="clear"/>
            <w:tcMar>
              <w:top w:type="dxa" w:w="60"/>
              <w:left w:type="dxa" w:w="100"/>
              <w:bottom w:type="dxa" w:w="60"/>
              <w:right w:type="dxa" w:w="100"/>
            </w:tcMar>
          </w:tcPr>
          <w:p>
            <w:r>
              <w:rPr>
                <w:b/>
                <w:bCs/>
                <w:color w:val="FFFFFF"/>
                <w:sz w:val="19"/>
                <w:szCs w:val="19"/>
              </w:rPr>
              <w:t xml:space="preserve">Owner</w:t>
            </w:r>
          </w:p>
        </w:tc>
        <w:tc>
          <w:tcPr>
            <w:tcW w:type="dxa" w:w="1700"/>
            <w:shd w:fill="1F4E79" w:val="clear"/>
            <w:tcMar>
              <w:top w:type="dxa" w:w="60"/>
              <w:left w:type="dxa" w:w="100"/>
              <w:bottom w:type="dxa" w:w="60"/>
              <w:right w:type="dxa" w:w="100"/>
            </w:tcMar>
          </w:tcPr>
          <w:p>
            <w:r>
              <w:rPr>
                <w:b/>
                <w:bCs/>
                <w:color w:val="FFFFFF"/>
                <w:sz w:val="19"/>
                <w:szCs w:val="19"/>
              </w:rPr>
              <w:t xml:space="preserve">Due Date</w:t>
            </w:r>
          </w:p>
        </w:tc>
      </w:tr>
      <w:tr>
        <w:tc>
          <w:tcPr>
            <w:tcW w:type="dxa" w:w="500"/>
            <w:tcMar>
              <w:top w:type="dxa" w:w="60"/>
              <w:left w:type="dxa" w:w="100"/>
              <w:bottom w:type="dxa" w:w="60"/>
              <w:right w:type="dxa" w:w="100"/>
            </w:tcMar>
          </w:tcPr>
          <w:p>
            <w:r>
              <w:rPr>
                <w:b w:val="false"/>
                <w:bCs w:val="false"/>
                <w:color w:val="000000"/>
                <w:sz w:val="19"/>
                <w:szCs w:val="19"/>
              </w:rPr>
              <w:t xml:space="preserve">1</w:t>
            </w:r>
          </w:p>
        </w:tc>
        <w:tc>
          <w:tcPr>
            <w:tcW w:type="dxa" w:w="3900"/>
            <w:tcMar>
              <w:top w:type="dxa" w:w="60"/>
              <w:left w:type="dxa" w:w="100"/>
              <w:bottom w:type="dxa" w:w="60"/>
              <w:right w:type="dxa" w:w="100"/>
            </w:tcMar>
          </w:tcPr>
          <w:p>
            <w:r>
              <w:rPr>
                <w:b w:val="false"/>
                <w:bCs w:val="false"/>
                <w:color w:val="000000"/>
                <w:sz w:val="19"/>
                <w:szCs w:val="19"/>
              </w:rPr>
              <w:t xml:space="preserve">Confirm revised Dell hardware delivery date and update readiness checklist</w:t>
            </w:r>
          </w:p>
        </w:tc>
        <w:tc>
          <w:tcPr>
            <w:tcW w:type="dxa" w:w="2100"/>
            <w:tcMar>
              <w:top w:type="dxa" w:w="60"/>
              <w:left w:type="dxa" w:w="100"/>
              <w:bottom w:type="dxa" w:w="60"/>
              <w:right w:type="dxa" w:w="100"/>
            </w:tcMar>
          </w:tcPr>
          <w:p>
            <w:r>
              <w:rPr>
                <w:b w:val="false"/>
                <w:bCs w:val="false"/>
                <w:color w:val="000000"/>
                <w:sz w:val="19"/>
                <w:szCs w:val="19"/>
              </w:rPr>
              <w:t xml:space="preserve">Infrastructure Lead</w:t>
            </w:r>
          </w:p>
        </w:tc>
        <w:tc>
          <w:tcPr>
            <w:tcW w:type="dxa" w:w="1700"/>
            <w:tcMar>
              <w:top w:type="dxa" w:w="60"/>
              <w:left w:type="dxa" w:w="100"/>
              <w:bottom w:type="dxa" w:w="60"/>
              <w:right w:type="dxa" w:w="100"/>
            </w:tcMar>
          </w:tcPr>
          <w:p>
            <w:r>
              <w:rPr>
                <w:b w:val="false"/>
                <w:bCs w:val="false"/>
                <w:color w:val="000000"/>
                <w:sz w:val="19"/>
                <w:szCs w:val="19"/>
              </w:rPr>
              <w:t xml:space="preserve">March 25, 2026</w:t>
            </w:r>
          </w:p>
        </w:tc>
      </w:tr>
      <w:tr>
        <w:tc>
          <w:tcPr>
            <w:tcW w:type="dxa" w:w="500"/>
            <w:tcMar>
              <w:top w:type="dxa" w:w="60"/>
              <w:left w:type="dxa" w:w="100"/>
              <w:bottom w:type="dxa" w:w="60"/>
              <w:right w:type="dxa" w:w="100"/>
            </w:tcMar>
          </w:tcPr>
          <w:p>
            <w:r>
              <w:rPr>
                <w:b w:val="false"/>
                <w:bCs w:val="false"/>
                <w:color w:val="000000"/>
                <w:sz w:val="19"/>
                <w:szCs w:val="19"/>
              </w:rPr>
              <w:t xml:space="preserve">2</w:t>
            </w:r>
          </w:p>
        </w:tc>
        <w:tc>
          <w:tcPr>
            <w:tcW w:type="dxa" w:w="3900"/>
            <w:tcMar>
              <w:top w:type="dxa" w:w="60"/>
              <w:left w:type="dxa" w:w="100"/>
              <w:bottom w:type="dxa" w:w="60"/>
              <w:right w:type="dxa" w:w="100"/>
            </w:tcMar>
          </w:tcPr>
          <w:p>
            <w:r>
              <w:rPr>
                <w:b w:val="false"/>
                <w:bCs w:val="false"/>
                <w:color w:val="000000"/>
                <w:sz w:val="19"/>
                <w:szCs w:val="19"/>
              </w:rPr>
              <w:t xml:space="preserve">Finalize and distribute end-user training schedule</w:t>
            </w:r>
          </w:p>
        </w:tc>
        <w:tc>
          <w:tcPr>
            <w:tcW w:type="dxa" w:w="2100"/>
            <w:tcMar>
              <w:top w:type="dxa" w:w="60"/>
              <w:left w:type="dxa" w:w="100"/>
              <w:bottom w:type="dxa" w:w="60"/>
              <w:right w:type="dxa" w:w="100"/>
            </w:tcMar>
          </w:tcPr>
          <w:p>
            <w:r>
              <w:rPr>
                <w:b w:val="false"/>
                <w:bCs w:val="false"/>
                <w:color w:val="000000"/>
                <w:sz w:val="19"/>
                <w:szCs w:val="19"/>
              </w:rPr>
              <w:t xml:space="preserve">PMO Lead</w:t>
            </w:r>
          </w:p>
        </w:tc>
        <w:tc>
          <w:tcPr>
            <w:tcW w:type="dxa" w:w="1700"/>
            <w:tcMar>
              <w:top w:type="dxa" w:w="60"/>
              <w:left w:type="dxa" w:w="100"/>
              <w:bottom w:type="dxa" w:w="60"/>
              <w:right w:type="dxa" w:w="100"/>
            </w:tcMar>
          </w:tcPr>
          <w:p>
            <w:r>
              <w:rPr>
                <w:b w:val="false"/>
                <w:bCs w:val="false"/>
                <w:color w:val="000000"/>
                <w:sz w:val="19"/>
                <w:szCs w:val="19"/>
              </w:rPr>
              <w:t xml:space="preserve">April 1, 2026</w:t>
            </w:r>
          </w:p>
        </w:tc>
      </w:tr>
      <w:tr>
        <w:tc>
          <w:tcPr>
            <w:tcW w:type="dxa" w:w="500"/>
            <w:tcMar>
              <w:top w:type="dxa" w:w="60"/>
              <w:left w:type="dxa" w:w="100"/>
              <w:bottom w:type="dxa" w:w="60"/>
              <w:right w:type="dxa" w:w="100"/>
            </w:tcMar>
          </w:tcPr>
          <w:p>
            <w:r>
              <w:rPr>
                <w:b w:val="false"/>
                <w:bCs w:val="false"/>
                <w:color w:val="000000"/>
                <w:sz w:val="19"/>
                <w:szCs w:val="19"/>
              </w:rPr>
              <w:t xml:space="preserve">3</w:t>
            </w:r>
          </w:p>
        </w:tc>
        <w:tc>
          <w:tcPr>
            <w:tcW w:type="dxa" w:w="3900"/>
            <w:tcMar>
              <w:top w:type="dxa" w:w="60"/>
              <w:left w:type="dxa" w:w="100"/>
              <w:bottom w:type="dxa" w:w="60"/>
              <w:right w:type="dxa" w:w="100"/>
            </w:tcMar>
          </w:tcPr>
          <w:p>
            <w:r>
              <w:rPr>
                <w:b w:val="false"/>
                <w:bCs w:val="false"/>
                <w:color w:val="000000"/>
                <w:sz w:val="19"/>
                <w:szCs w:val="19"/>
              </w:rPr>
              <w:t xml:space="preserve">Confirm remediation of the three high-risk security findings</w:t>
            </w:r>
          </w:p>
        </w:tc>
        <w:tc>
          <w:tcPr>
            <w:tcW w:type="dxa" w:w="2100"/>
            <w:tcMar>
              <w:top w:type="dxa" w:w="60"/>
              <w:left w:type="dxa" w:w="100"/>
              <w:bottom w:type="dxa" w:w="60"/>
              <w:right w:type="dxa" w:w="100"/>
            </w:tcMar>
          </w:tcPr>
          <w:p>
            <w:r>
              <w:rPr>
                <w:b w:val="false"/>
                <w:bCs w:val="false"/>
                <w:color w:val="000000"/>
                <w:sz w:val="19"/>
                <w:szCs w:val="19"/>
              </w:rPr>
              <w:t xml:space="preserve">Security Team</w:t>
            </w:r>
          </w:p>
        </w:tc>
        <w:tc>
          <w:tcPr>
            <w:tcW w:type="dxa" w:w="1700"/>
            <w:tcMar>
              <w:top w:type="dxa" w:w="60"/>
              <w:left w:type="dxa" w:w="100"/>
              <w:bottom w:type="dxa" w:w="60"/>
              <w:right w:type="dxa" w:w="100"/>
            </w:tcMar>
          </w:tcPr>
          <w:p>
            <w:r>
              <w:rPr>
                <w:b w:val="false"/>
                <w:bCs w:val="false"/>
                <w:color w:val="000000"/>
                <w:sz w:val="19"/>
                <w:szCs w:val="19"/>
              </w:rPr>
              <w:t xml:space="preserve">April 10, 2026</w:t>
            </w:r>
          </w:p>
        </w:tc>
      </w:tr>
      <w:tr>
        <w:tc>
          <w:tcPr>
            <w:tcW w:type="dxa" w:w="500"/>
            <w:tcMar>
              <w:top w:type="dxa" w:w="60"/>
              <w:left w:type="dxa" w:w="100"/>
              <w:bottom w:type="dxa" w:w="60"/>
              <w:right w:type="dxa" w:w="100"/>
            </w:tcMar>
          </w:tcPr>
          <w:p>
            <w:r>
              <w:rPr>
                <w:b w:val="false"/>
                <w:bCs w:val="false"/>
                <w:color w:val="000000"/>
                <w:sz w:val="19"/>
                <w:szCs w:val="19"/>
              </w:rPr>
              <w:t xml:space="preserve">4</w:t>
            </w:r>
          </w:p>
        </w:tc>
        <w:tc>
          <w:tcPr>
            <w:tcW w:type="dxa" w:w="3900"/>
            <w:tcMar>
              <w:top w:type="dxa" w:w="60"/>
              <w:left w:type="dxa" w:w="100"/>
              <w:bottom w:type="dxa" w:w="60"/>
              <w:right w:type="dxa" w:w="100"/>
            </w:tcMar>
          </w:tcPr>
          <w:p>
            <w:r>
              <w:rPr>
                <w:b w:val="false"/>
                <w:bCs w:val="false"/>
                <w:color w:val="000000"/>
                <w:sz w:val="19"/>
                <w:szCs w:val="19"/>
              </w:rPr>
              <w:t xml:space="preserve">Circulate updated budget allocation reflecting the approved $180,000</w:t>
            </w:r>
          </w:p>
        </w:tc>
        <w:tc>
          <w:tcPr>
            <w:tcW w:type="dxa" w:w="2100"/>
            <w:tcMar>
              <w:top w:type="dxa" w:w="60"/>
              <w:left w:type="dxa" w:w="100"/>
              <w:bottom w:type="dxa" w:w="60"/>
              <w:right w:type="dxa" w:w="100"/>
            </w:tcMar>
          </w:tcPr>
          <w:p>
            <w:r>
              <w:rPr>
                <w:b w:val="false"/>
                <w:bCs w:val="false"/>
                <w:color w:val="000000"/>
                <w:sz w:val="19"/>
                <w:szCs w:val="19"/>
              </w:rPr>
              <w:t xml:space="preserve">Finance Director</w:t>
            </w:r>
          </w:p>
        </w:tc>
        <w:tc>
          <w:tcPr>
            <w:tcW w:type="dxa" w:w="1700"/>
            <w:tcMar>
              <w:top w:type="dxa" w:w="60"/>
              <w:left w:type="dxa" w:w="100"/>
              <w:bottom w:type="dxa" w:w="60"/>
              <w:right w:type="dxa" w:w="100"/>
            </w:tcMar>
          </w:tcPr>
          <w:p>
            <w:r>
              <w:rPr>
                <w:b w:val="false"/>
                <w:bCs w:val="false"/>
                <w:color w:val="000000"/>
                <w:sz w:val="19"/>
                <w:szCs w:val="19"/>
              </w:rPr>
              <w:t xml:space="preserve">March 22, 2026</w:t>
            </w:r>
          </w:p>
        </w:tc>
      </w:tr>
    </w:tbl>
    <w:p>
      <w:pPr>
        <w:pStyle w:val="Heading2"/>
        <w:spacing w:after="100" w:before="220"/>
      </w:pPr>
      <w:r>
        <w:rPr>
          <w:b/>
          <w:bCs/>
        </w:rPr>
        <w:t xml:space="preserve">5. Approvals</w:t>
      </w:r>
    </w:p>
    <w:p>
      <w:pPr>
        <w:spacing w:after="120"/>
      </w:pPr>
      <w:r>
        <w:rPr>
          <w:sz w:val="21"/>
          <w:szCs w:val="21"/>
        </w:rPr>
        <w:t xml:space="preserve">The Committee formally approved Decision #1 (integration pattern) and Decision #2 (additional budget) as recorded above. Decision #3 (go-live date) is approved conditionally, pending confirmation of the revised hardware delivery date. The Finance Director noted that the additional $180,000 approved under Decision #2 will be drawn from the existing Project Orion contingency reserve rather than requiring a new budget request, which the Executive Sponsor confirmed was acceptable.</w:t>
      </w:r>
    </w:p>
    <w:p>
      <w:pPr>
        <w:pStyle w:val="Heading2"/>
        <w:spacing w:after="100" w:before="220"/>
      </w:pPr>
      <w:r>
        <w:rPr>
          <w:b/>
          <w:bCs/>
        </w:rPr>
        <w:t xml:space="preserve">6. Any Other Business</w:t>
      </w:r>
    </w:p>
    <w:p>
      <w:pPr>
        <w:spacing w:after="120"/>
      </w:pPr>
      <w:r>
        <w:rPr>
          <w:sz w:val="21"/>
          <w:szCs w:val="21"/>
        </w:rPr>
        <w:t xml:space="preserve">The CIO reminded the Committee that the mandatory Copilot training sessions communicated by HR are a prerequisite for go-live readiness and asked each department lead to confirm registration completion for their teams before the next meeting. No further business was raised.</w:t>
      </w:r>
    </w:p>
    <w:p>
      <w:pPr>
        <w:spacing w:after="120"/>
      </w:pPr>
      <w:r>
        <w:rPr>
          <w:sz w:val="21"/>
          <w:szCs w:val="21"/>
        </w:rPr>
        <w:t xml:space="preserve">Next meeting: April 15, 2026, 2:00 PM, Microsoft Teams. Minutes recorded by the PMO Lead and circulated to all Committee members within 48 hours.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2026-07-13T09:40:35.824Z</dcterms:created>
  <dcterms:modified xsi:type="dcterms:W3CDTF">2026-07-13T09:40:35.824Z</dcterms:modified>
</cp:coreProperties>
</file>

<file path=docProps/custom.xml><?xml version="1.0" encoding="utf-8"?>
<Properties xmlns="http://schemas.openxmlformats.org/officeDocument/2006/custom-properties" xmlns:vt="http://schemas.openxmlformats.org/officeDocument/2006/docPropsVTypes"/>
</file>