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b/>
          <w:bCs/>
        </w:rPr>
        <w:t xml:space="preserve">Information Security Policy</w:t>
      </w:r>
    </w:p>
    <w:p>
      <w:pPr>
        <w:spacing w:after="240"/>
      </w:pPr>
      <w:r>
        <w:rPr>
          <w:color w:val="666666"/>
          <w:sz w:val="18"/>
          <w:szCs w:val="18"/>
        </w:rPr>
        <w:t xml:space="preserve">Contoso Electronics · IT Security · Version 4.0 · Effective date: January 1, 2026 · Applies to all employees and contractors</w:t>
      </w:r>
    </w:p>
    <w:p>
      <w:pPr>
        <w:pStyle w:val="Heading2"/>
        <w:spacing w:after="100" w:before="220"/>
      </w:pPr>
      <w:r>
        <w:rPr>
          <w:b/>
          <w:bCs/>
        </w:rPr>
        <w:t xml:space="preserve">1. Purpose</w:t>
      </w:r>
    </w:p>
    <w:p>
      <w:pPr>
        <w:spacing w:after="120"/>
      </w:pPr>
      <w:r>
        <w:rPr>
          <w:sz w:val="21"/>
          <w:szCs w:val="21"/>
        </w:rPr>
        <w:t xml:space="preserve">This policy establishes minimum information security requirements for all Contoso Electronics systems, including the Project Orion ERP platform and its integrations with Microsoft 365. It applies to all employees, contractors, and third parties who access company systems or data.</w:t>
      </w:r>
    </w:p>
    <w:p>
      <w:pPr>
        <w:pStyle w:val="Heading2"/>
        <w:spacing w:after="100" w:before="220"/>
      </w:pPr>
      <w:r>
        <w:rPr>
          <w:b/>
          <w:bCs/>
        </w:rPr>
        <w:t xml:space="preserve">2. Password Policy</w:t>
      </w:r>
    </w:p>
    <w:p>
      <w:pPr>
        <w:spacing w:after="60"/>
        <w:ind w:left="360"/>
      </w:pPr>
      <w:r>
        <w:rPr>
          <w:sz w:val="21"/>
          <w:szCs w:val="21"/>
        </w:rPr>
        <w:t xml:space="preserve">• Minimum 12 characters, combining upper and lower case letters, numbers, and a symbol.</w:t>
      </w:r>
    </w:p>
    <w:p>
      <w:pPr>
        <w:spacing w:after="60"/>
        <w:ind w:left="360"/>
      </w:pPr>
      <w:r>
        <w:rPr>
          <w:sz w:val="21"/>
          <w:szCs w:val="21"/>
        </w:rPr>
        <w:t xml:space="preserve">• Passwords must be changed every 90 days and may not repeat the previous 6 passwords.</w:t>
      </w:r>
    </w:p>
    <w:p>
      <w:pPr>
        <w:spacing w:after="60"/>
        <w:ind w:left="360"/>
      </w:pPr>
      <w:r>
        <w:rPr>
          <w:sz w:val="21"/>
          <w:szCs w:val="21"/>
        </w:rPr>
        <w:t xml:space="preserve">• Shared or generic accounts are prohibited except where explicitly approved by IT Security for service accounts.</w:t>
      </w:r>
    </w:p>
    <w:p>
      <w:pPr>
        <w:spacing w:after="60"/>
        <w:ind w:left="360"/>
      </w:pPr>
      <w:r>
        <w:rPr>
          <w:sz w:val="21"/>
          <w:szCs w:val="21"/>
        </w:rPr>
        <w:t xml:space="preserve">• Passwords must never be written down, stored in plain text, or shared over email or chat.</w:t>
      </w:r>
    </w:p>
    <w:p>
      <w:pPr>
        <w:pStyle w:val="Heading2"/>
        <w:spacing w:after="100" w:before="220"/>
      </w:pPr>
      <w:r>
        <w:rPr>
          <w:b/>
          <w:bCs/>
        </w:rPr>
        <w:t xml:space="preserve">3. Multi-Factor Authentication (MFA)</w:t>
      </w:r>
    </w:p>
    <w:p>
      <w:pPr>
        <w:spacing w:after="120"/>
      </w:pPr>
      <w:r>
        <w:rPr>
          <w:sz w:val="21"/>
          <w:szCs w:val="21"/>
        </w:rPr>
        <w:t xml:space="preserve">MFA is mandatory for all accounts with access to the ERP platform, Microsoft 365, and any system containing customer, financial, or employee data. Approved MFA methods are the Microsoft Authenticator app and hardware security keys; SMS-based MFA is permitted only as a fallback where the primary method is unavailable. Any request to disable MFA for an account requires written approval from the IT Security Officer and is logged for audit.</w:t>
      </w:r>
    </w:p>
    <w:p>
      <w:pPr>
        <w:pStyle w:val="Heading2"/>
        <w:spacing w:after="100" w:before="220"/>
      </w:pPr>
      <w:r>
        <w:rPr>
          <w:b/>
          <w:bCs/>
        </w:rPr>
        <w:t xml:space="preserve">4. Data Classification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3300"/>
      </w:tblGrid>
      <w:tr>
        <w:tc>
          <w:tcPr>
            <w:tcW w:type="dxa" w:w="1700"/>
            <w:shd w:fill="1F4E79" w:val="clear"/>
            <w:tcMar>
              <w:top w:type="dxa" w:w="60"/>
              <w:left w:type="dxa" w:w="100"/>
              <w:bottom w:type="dxa" w:w="60"/>
              <w:right w:type="dxa" w:w="100"/>
            </w:tcMar>
          </w:tcPr>
          <w:p>
            <w:r>
              <w:rPr>
                <w:b/>
                <w:bCs/>
                <w:color w:val="FFFFFF"/>
                <w:sz w:val="19"/>
                <w:szCs w:val="19"/>
              </w:rPr>
              <w:t xml:space="preserve">Classification</w:t>
            </w:r>
          </w:p>
        </w:tc>
        <w:tc>
          <w:tcPr>
            <w:tcW w:type="dxa" w:w="3200"/>
            <w:shd w:fill="1F4E79" w:val="clear"/>
            <w:tcMar>
              <w:top w:type="dxa" w:w="60"/>
              <w:left w:type="dxa" w:w="100"/>
              <w:bottom w:type="dxa" w:w="60"/>
              <w:right w:type="dxa" w:w="100"/>
            </w:tcMar>
          </w:tcPr>
          <w:p>
            <w:r>
              <w:rPr>
                <w:b/>
                <w:bCs/>
                <w:color w:val="FFFFFF"/>
                <w:sz w:val="19"/>
                <w:szCs w:val="19"/>
              </w:rPr>
              <w:t xml:space="preserve">Examples</w:t>
            </w:r>
          </w:p>
        </w:tc>
        <w:tc>
          <w:tcPr>
            <w:tcW w:type="dxa" w:w="3300"/>
            <w:shd w:fill="1F4E79" w:val="clear"/>
            <w:tcMar>
              <w:top w:type="dxa" w:w="60"/>
              <w:left w:type="dxa" w:w="100"/>
              <w:bottom w:type="dxa" w:w="60"/>
              <w:right w:type="dxa" w:w="100"/>
            </w:tcMar>
          </w:tcPr>
          <w:p>
            <w:r>
              <w:rPr>
                <w:b/>
                <w:bCs/>
                <w:color w:val="FFFFFF"/>
                <w:sz w:val="19"/>
                <w:szCs w:val="19"/>
              </w:rPr>
              <w:t xml:space="preserve">Handling requirement</w:t>
            </w:r>
          </w:p>
        </w:tc>
      </w:tr>
      <w:tr>
        <w:tc>
          <w:tcPr>
            <w:tcW w:type="dxa" w:w="1700"/>
            <w:tcMar>
              <w:top w:type="dxa" w:w="60"/>
              <w:left w:type="dxa" w:w="100"/>
              <w:bottom w:type="dxa" w:w="60"/>
              <w:right w:type="dxa" w:w="100"/>
            </w:tcMar>
          </w:tcPr>
          <w:p>
            <w:r>
              <w:rPr>
                <w:b w:val="false"/>
                <w:bCs w:val="false"/>
                <w:color w:val="000000"/>
                <w:sz w:val="19"/>
                <w:szCs w:val="19"/>
              </w:rPr>
              <w:t xml:space="preserve">Public</w:t>
            </w:r>
          </w:p>
        </w:tc>
        <w:tc>
          <w:tcPr>
            <w:tcW w:type="dxa" w:w="3200"/>
            <w:tcMar>
              <w:top w:type="dxa" w:w="60"/>
              <w:left w:type="dxa" w:w="100"/>
              <w:bottom w:type="dxa" w:w="60"/>
              <w:right w:type="dxa" w:w="100"/>
            </w:tcMar>
          </w:tcPr>
          <w:p>
            <w:r>
              <w:rPr>
                <w:b w:val="false"/>
                <w:bCs w:val="false"/>
                <w:color w:val="000000"/>
                <w:sz w:val="19"/>
                <w:szCs w:val="19"/>
              </w:rPr>
              <w:t xml:space="preserve">Marketing materials, published price lists</w:t>
            </w:r>
          </w:p>
        </w:tc>
        <w:tc>
          <w:tcPr>
            <w:tcW w:type="dxa" w:w="3300"/>
            <w:tcMar>
              <w:top w:type="dxa" w:w="60"/>
              <w:left w:type="dxa" w:w="100"/>
              <w:bottom w:type="dxa" w:w="60"/>
              <w:right w:type="dxa" w:w="100"/>
            </w:tcMar>
          </w:tcPr>
          <w:p>
            <w:r>
              <w:rPr>
                <w:b w:val="false"/>
                <w:bCs w:val="false"/>
                <w:color w:val="000000"/>
                <w:sz w:val="19"/>
                <w:szCs w:val="19"/>
              </w:rPr>
              <w:t xml:space="preserve">No restriction</w:t>
            </w:r>
          </w:p>
        </w:tc>
      </w:tr>
      <w:tr>
        <w:tc>
          <w:tcPr>
            <w:tcW w:type="dxa" w:w="1700"/>
            <w:tcMar>
              <w:top w:type="dxa" w:w="60"/>
              <w:left w:type="dxa" w:w="100"/>
              <w:bottom w:type="dxa" w:w="60"/>
              <w:right w:type="dxa" w:w="100"/>
            </w:tcMar>
          </w:tcPr>
          <w:p>
            <w:r>
              <w:rPr>
                <w:b w:val="false"/>
                <w:bCs w:val="false"/>
                <w:color w:val="000000"/>
                <w:sz w:val="19"/>
                <w:szCs w:val="19"/>
              </w:rPr>
              <w:t xml:space="preserve">Internal</w:t>
            </w:r>
          </w:p>
        </w:tc>
        <w:tc>
          <w:tcPr>
            <w:tcW w:type="dxa" w:w="3200"/>
            <w:tcMar>
              <w:top w:type="dxa" w:w="60"/>
              <w:left w:type="dxa" w:w="100"/>
              <w:bottom w:type="dxa" w:w="60"/>
              <w:right w:type="dxa" w:w="100"/>
            </w:tcMar>
          </w:tcPr>
          <w:p>
            <w:r>
              <w:rPr>
                <w:b w:val="false"/>
                <w:bCs w:val="false"/>
                <w:color w:val="000000"/>
                <w:sz w:val="19"/>
                <w:szCs w:val="19"/>
              </w:rPr>
              <w:t xml:space="preserve">Project plans, internal reports, meeting minutes</w:t>
            </w:r>
          </w:p>
        </w:tc>
        <w:tc>
          <w:tcPr>
            <w:tcW w:type="dxa" w:w="3300"/>
            <w:tcMar>
              <w:top w:type="dxa" w:w="60"/>
              <w:left w:type="dxa" w:w="100"/>
              <w:bottom w:type="dxa" w:w="60"/>
              <w:right w:type="dxa" w:w="100"/>
            </w:tcMar>
          </w:tcPr>
          <w:p>
            <w:r>
              <w:rPr>
                <w:b w:val="false"/>
                <w:bCs w:val="false"/>
                <w:color w:val="000000"/>
                <w:sz w:val="19"/>
                <w:szCs w:val="19"/>
              </w:rPr>
              <w:t xml:space="preserve">Access limited to employees; no external sharing without approval</w:t>
            </w:r>
          </w:p>
        </w:tc>
      </w:tr>
      <w:tr>
        <w:tc>
          <w:tcPr>
            <w:tcW w:type="dxa" w:w="1700"/>
            <w:tcMar>
              <w:top w:type="dxa" w:w="60"/>
              <w:left w:type="dxa" w:w="100"/>
              <w:bottom w:type="dxa" w:w="60"/>
              <w:right w:type="dxa" w:w="100"/>
            </w:tcMar>
          </w:tcPr>
          <w:p>
            <w:r>
              <w:rPr>
                <w:b w:val="false"/>
                <w:bCs w:val="false"/>
                <w:color w:val="000000"/>
                <w:sz w:val="19"/>
                <w:szCs w:val="19"/>
              </w:rPr>
              <w:t xml:space="preserve">Confidential</w:t>
            </w:r>
          </w:p>
        </w:tc>
        <w:tc>
          <w:tcPr>
            <w:tcW w:type="dxa" w:w="3200"/>
            <w:tcMar>
              <w:top w:type="dxa" w:w="60"/>
              <w:left w:type="dxa" w:w="100"/>
              <w:bottom w:type="dxa" w:w="60"/>
              <w:right w:type="dxa" w:w="100"/>
            </w:tcMar>
          </w:tcPr>
          <w:p>
            <w:r>
              <w:rPr>
                <w:b w:val="false"/>
                <w:bCs w:val="false"/>
                <w:color w:val="000000"/>
                <w:sz w:val="19"/>
                <w:szCs w:val="19"/>
              </w:rPr>
              <w:t xml:space="preserve">Customer contracts, vendor pricing, financial statements</w:t>
            </w:r>
          </w:p>
        </w:tc>
        <w:tc>
          <w:tcPr>
            <w:tcW w:type="dxa" w:w="3300"/>
            <w:tcMar>
              <w:top w:type="dxa" w:w="60"/>
              <w:left w:type="dxa" w:w="100"/>
              <w:bottom w:type="dxa" w:w="60"/>
              <w:right w:type="dxa" w:w="100"/>
            </w:tcMar>
          </w:tcPr>
          <w:p>
            <w:r>
              <w:rPr>
                <w:b w:val="false"/>
                <w:bCs w:val="false"/>
                <w:color w:val="000000"/>
                <w:sz w:val="19"/>
                <w:szCs w:val="19"/>
              </w:rPr>
              <w:t xml:space="preserve">Encrypted at rest and in transit; access on a need-to-know basis</w:t>
            </w:r>
          </w:p>
        </w:tc>
      </w:tr>
      <w:tr>
        <w:tc>
          <w:tcPr>
            <w:tcW w:type="dxa" w:w="1700"/>
            <w:tcMar>
              <w:top w:type="dxa" w:w="60"/>
              <w:left w:type="dxa" w:w="100"/>
              <w:bottom w:type="dxa" w:w="60"/>
              <w:right w:type="dxa" w:w="100"/>
            </w:tcMar>
          </w:tcPr>
          <w:p>
            <w:r>
              <w:rPr>
                <w:b w:val="false"/>
                <w:bCs w:val="false"/>
                <w:color w:val="000000"/>
                <w:sz w:val="19"/>
                <w:szCs w:val="19"/>
              </w:rPr>
              <w:t xml:space="preserve">Restricted</w:t>
            </w:r>
          </w:p>
        </w:tc>
        <w:tc>
          <w:tcPr>
            <w:tcW w:type="dxa" w:w="3200"/>
            <w:tcMar>
              <w:top w:type="dxa" w:w="60"/>
              <w:left w:type="dxa" w:w="100"/>
              <w:bottom w:type="dxa" w:w="60"/>
              <w:right w:type="dxa" w:w="100"/>
            </w:tcMar>
          </w:tcPr>
          <w:p>
            <w:r>
              <w:rPr>
                <w:b w:val="false"/>
                <w:bCs w:val="false"/>
                <w:color w:val="000000"/>
                <w:sz w:val="19"/>
                <w:szCs w:val="19"/>
              </w:rPr>
              <w:t xml:space="preserve">Employee personal data, security assessment findings</w:t>
            </w:r>
          </w:p>
        </w:tc>
        <w:tc>
          <w:tcPr>
            <w:tcW w:type="dxa" w:w="3300"/>
            <w:tcMar>
              <w:top w:type="dxa" w:w="60"/>
              <w:left w:type="dxa" w:w="100"/>
              <w:bottom w:type="dxa" w:w="60"/>
              <w:right w:type="dxa" w:w="100"/>
            </w:tcMar>
          </w:tcPr>
          <w:p>
            <w:r>
              <w:rPr>
                <w:b w:val="false"/>
                <w:bCs w:val="false"/>
                <w:color w:val="000000"/>
                <w:sz w:val="19"/>
                <w:szCs w:val="19"/>
              </w:rPr>
              <w:t xml:space="preserve">Access limited to named individuals; logged and audited</w:t>
            </w:r>
          </w:p>
        </w:tc>
      </w:tr>
    </w:tbl>
    <w:p>
      <w:pPr>
        <w:pStyle w:val="Heading2"/>
        <w:spacing w:after="100" w:before="220"/>
      </w:pPr>
      <w:r>
        <w:rPr>
          <w:b/>
          <w:bCs/>
        </w:rPr>
        <w:t xml:space="preserve">5. Acceptable Use</w:t>
      </w:r>
    </w:p>
    <w:p>
      <w:pPr>
        <w:spacing w:after="60"/>
        <w:ind w:left="360"/>
      </w:pPr>
      <w:r>
        <w:rPr>
          <w:sz w:val="21"/>
          <w:szCs w:val="21"/>
        </w:rPr>
        <w:t xml:space="preserve">• Company systems and data must be used only for legitimate business purposes.</w:t>
      </w:r>
    </w:p>
    <w:p>
      <w:pPr>
        <w:spacing w:after="60"/>
        <w:ind w:left="360"/>
      </w:pPr>
      <w:r>
        <w:rPr>
          <w:sz w:val="21"/>
          <w:szCs w:val="21"/>
        </w:rPr>
        <w:t xml:space="preserve">• Installing unapproved software or connecting unauthorized devices to the corporate network is prohibited.</w:t>
      </w:r>
    </w:p>
    <w:p>
      <w:pPr>
        <w:spacing w:after="60"/>
        <w:ind w:left="360"/>
      </w:pPr>
      <w:r>
        <w:rPr>
          <w:sz w:val="21"/>
          <w:szCs w:val="21"/>
        </w:rPr>
        <w:t xml:space="preserve">• Confidential and Restricted data must never be copied to personal devices or personal cloud storage accounts.</w:t>
      </w:r>
    </w:p>
    <w:p>
      <w:pPr>
        <w:spacing w:after="60"/>
        <w:ind w:left="360"/>
      </w:pPr>
      <w:r>
        <w:rPr>
          <w:sz w:val="21"/>
          <w:szCs w:val="21"/>
        </w:rPr>
        <w:t xml:space="preserve">• Employees must lock their workstation whenever stepping away, and shared terminals must use auto-lock after 5 minutes of inactivity.</w:t>
      </w:r>
    </w:p>
    <w:p>
      <w:pPr>
        <w:pStyle w:val="Heading2"/>
        <w:spacing w:after="100" w:before="220"/>
      </w:pPr>
      <w:r>
        <w:rPr>
          <w:b/>
          <w:bCs/>
        </w:rPr>
        <w:t xml:space="preserve">6. Incident Reporting</w:t>
      </w:r>
    </w:p>
    <w:p>
      <w:pPr>
        <w:spacing w:after="120"/>
      </w:pPr>
      <w:r>
        <w:rPr>
          <w:sz w:val="21"/>
          <w:szCs w:val="21"/>
        </w:rPr>
        <w:t xml:space="preserve">Any suspected security incident — including phishing attempts, lost or stolen devices, unauthorized access, or suspected data exposure — must be reported to the IT Security team within 1 hour of discovery via the internal security hotline or the #security-incidents Teams channel. IT Security will triage, contain, and investigate all reported incidents, and will notify affected stakeholders and, where required, regulatory bodies, in accordance with the company’s incident response plan. Failure to report a known incident in a timely manner is itself treated as a policy violation.</w:t>
      </w:r>
    </w:p>
    <w:p>
      <w:pPr>
        <w:pStyle w:val="Heading2"/>
        <w:spacing w:after="100" w:before="220"/>
      </w:pPr>
      <w:r>
        <w:rPr>
          <w:b/>
          <w:bCs/>
        </w:rPr>
        <w:t xml:space="preserve">7. Remote Work Security</w:t>
      </w:r>
    </w:p>
    <w:p>
      <w:pPr>
        <w:spacing w:after="120"/>
      </w:pPr>
      <w:r>
        <w:rPr>
          <w:sz w:val="21"/>
          <w:szCs w:val="21"/>
        </w:rPr>
        <w:t xml:space="preserve">Employees working remotely must connect to company systems only through the approved VPN or the Microsoft 365 web and desktop applications with MFA enabled. Personal Wi-Fi networks used for company work must be secured with WPA2 or WPA3 encryption and a unique password; public Wi-Fi (cafes, airports, hotels) may only be used with the VPN active. Company-issued laptops must have disk encryption and endpoint protection enabled at all times, and employees may not disable these controls even temporarily for convenience.</w:t>
      </w:r>
    </w:p>
    <w:p>
      <w:pPr>
        <w:pStyle w:val="Heading2"/>
        <w:spacing w:after="100" w:before="220"/>
      </w:pPr>
      <w:r>
        <w:rPr>
          <w:b/>
          <w:bCs/>
        </w:rPr>
        <w:t xml:space="preserve">8. Policy Review and Enforcement</w:t>
      </w:r>
    </w:p>
    <w:p>
      <w:pPr>
        <w:spacing w:after="120"/>
      </w:pPr>
      <w:r>
        <w:rPr>
          <w:sz w:val="21"/>
          <w:szCs w:val="21"/>
        </w:rPr>
        <w:t xml:space="preserve">This policy is reviewed annually by IT Security and approved by the CIO, with interim updates issued whenever a material change in threat landscape or regulatory requirement occurs. All employees and contractors must acknowledge this policy annually as part of the mandatory Copilot and security training cycle. Violations may result in disciplinary action up to and including termination, consistent with HR policy, and in the case of intentional data exposure, may also result in referral to legal counsel.</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2026-07-13T09:40:35.820Z</dcterms:created>
  <dcterms:modified xsi:type="dcterms:W3CDTF">2026-07-13T09:40:35.820Z</dcterms:modified>
</cp:coreProperties>
</file>

<file path=docProps/custom.xml><?xml version="1.0" encoding="utf-8"?>
<Properties xmlns="http://schemas.openxmlformats.org/officeDocument/2006/custom-properties" xmlns:vt="http://schemas.openxmlformats.org/officeDocument/2006/docPropsVTypes"/>
</file>