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rPr>
        <w:t xml:space="preserve">Project Orion — Business Requirements Document</w:t>
      </w:r>
    </w:p>
    <w:p>
      <w:pPr>
        <w:spacing w:after="240"/>
      </w:pPr>
      <w:r>
        <w:rPr>
          <w:color w:val="666666"/>
          <w:sz w:val="18"/>
          <w:szCs w:val="18"/>
        </w:rPr>
        <w:t xml:space="preserve">Contoso Electronics · Enterprise ERP Modernization · Document owner: PMO · Version 1.3 · Status: Approved</w:t>
      </w:r>
    </w:p>
    <w:p>
      <w:pPr>
        <w:pStyle w:val="Heading2"/>
        <w:spacing w:after="100" w:before="220"/>
      </w:pPr>
      <w:r>
        <w:rPr>
          <w:b/>
          <w:bCs/>
        </w:rPr>
        <w:t xml:space="preserve">1. Business Objectives</w:t>
      </w:r>
    </w:p>
    <w:p>
      <w:pPr>
        <w:spacing w:after="120"/>
      </w:pPr>
      <w:r>
        <w:rPr>
          <w:sz w:val="21"/>
          <w:szCs w:val="21"/>
        </w:rPr>
        <w:t xml:space="preserve">Contoso Electronics is modernizing its enterprise resource planning platform to replace a fragmented set of legacy systems across Sales, Finance, Supply Chain, Procurement, and Operations. The current environment relies on disconnected tools and manual reconciliation between departments, which slows order processing, delays financial close, and limits visibility into inventory and vendor performance. Project Orion exists to consolidate these functions onto a single ERP platform, giving every department a shared, real-time view of the business.</w:t>
      </w:r>
    </w:p>
    <w:p>
      <w:pPr>
        <w:spacing w:after="120"/>
      </w:pPr>
      <w:r>
        <w:rPr>
          <w:sz w:val="21"/>
          <w:szCs w:val="21"/>
        </w:rPr>
        <w:t xml:space="preserve">The primary objectives are: reduce order-to-cash cycle time by 30%; cut month-end financial close from 10 business days to 4; give Supply Chain real-time visibility into inventory levels and reorder points across all warehouses; and establish a single source of truth for customer, vendor, and product data that eliminates duplicate records across departmental spreadsheets.</w:t>
      </w:r>
    </w:p>
    <w:p>
      <w:pPr>
        <w:pStyle w:val="Heading2"/>
        <w:spacing w:after="100" w:before="220"/>
      </w:pPr>
      <w:r>
        <w:rPr>
          <w:b/>
          <w:bCs/>
        </w:rPr>
        <w:t xml:space="preserve">2. Functional Requirements</w:t>
      </w:r>
    </w:p>
    <w:p>
      <w:pPr>
        <w:spacing w:after="120"/>
      </w:pPr>
      <w:r>
        <w:rPr>
          <w:sz w:val="21"/>
          <w:szCs w:val="21"/>
        </w:rPr>
        <w:t xml:space="preserve">The platform must support the following core capabilities across the five in-scope business functions:</w:t>
      </w:r>
    </w:p>
    <w:p>
      <w:pPr>
        <w:spacing w:after="60"/>
        <w:ind w:left="360"/>
      </w:pPr>
      <w:r>
        <w:rPr>
          <w:sz w:val="21"/>
          <w:szCs w:val="21"/>
        </w:rPr>
        <w:t xml:space="preserve">• Sales: opportunity and pipeline tracking, quote-to-order conversion, and integration with the customer contract lifecycle.</w:t>
      </w:r>
    </w:p>
    <w:p>
      <w:pPr>
        <w:spacing w:after="60"/>
        <w:ind w:left="360"/>
      </w:pPr>
      <w:r>
        <w:rPr>
          <w:sz w:val="21"/>
          <w:szCs w:val="21"/>
        </w:rPr>
        <w:t xml:space="preserve">• Finance: general ledger, accounts payable/receivable, budget approval workflows, and automated month-end close reporting.</w:t>
      </w:r>
    </w:p>
    <w:p>
      <w:pPr>
        <w:spacing w:after="60"/>
        <w:ind w:left="360"/>
      </w:pPr>
      <w:r>
        <w:rPr>
          <w:sz w:val="21"/>
          <w:szCs w:val="21"/>
        </w:rPr>
        <w:t xml:space="preserve">• Supply Chain: multi-warehouse inventory tracking, automated reorder-point alerts, and supplier lead-time monitoring.</w:t>
      </w:r>
    </w:p>
    <w:p>
      <w:pPr>
        <w:spacing w:after="60"/>
        <w:ind w:left="360"/>
      </w:pPr>
      <w:r>
        <w:rPr>
          <w:sz w:val="21"/>
          <w:szCs w:val="21"/>
        </w:rPr>
        <w:t xml:space="preserve">• Procurement: purchase requisition and approval routing, vendor scorecard tracking, and contract renewal reminders.</w:t>
      </w:r>
    </w:p>
    <w:p>
      <w:pPr>
        <w:spacing w:after="60"/>
        <w:ind w:left="360"/>
      </w:pPr>
      <w:r>
        <w:rPr>
          <w:sz w:val="21"/>
          <w:szCs w:val="21"/>
        </w:rPr>
        <w:t xml:space="preserve">• Operations: production and deployment readiness checklists, asset tracking, and cross-department task/status reporting.</w:t>
      </w:r>
    </w:p>
    <w:p>
      <w:pPr>
        <w:spacing w:after="120"/>
      </w:pPr>
      <w:r>
        <w:rPr>
          <w:sz w:val="21"/>
          <w:szCs w:val="21"/>
        </w:rPr>
        <w:t xml:space="preserve">In addition, the system must support role-based dashboards for executives, department heads, and individual contributors, and must integrate with the existing Microsoft 365 environment (Outlook, Teams, SharePoint, and OneDrive) so that notifications, approvals, and documents flow through tools employees already use daily.</w:t>
      </w:r>
    </w:p>
    <w:p>
      <w:pPr>
        <w:pStyle w:val="Heading2"/>
        <w:spacing w:after="100" w:before="220"/>
      </w:pPr>
      <w:r>
        <w:rPr>
          <w:b/>
          <w:bCs/>
        </w:rPr>
        <w:t xml:space="preserve">3. Stakeholders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500"/>
      </w:tblGrid>
      <w:tr>
        <w:tc>
          <w:tcPr>
            <w:tcW w:type="dxa" w:w="2400"/>
            <w:shd w:fill="1F4E79" w:val="clear"/>
            <w:tcMar>
              <w:top w:type="dxa" w:w="60"/>
              <w:left w:type="dxa" w:w="100"/>
              <w:bottom w:type="dxa" w:w="60"/>
              <w:right w:type="dxa" w:w="100"/>
            </w:tcMar>
          </w:tcPr>
          <w:p>
            <w:r>
              <w:rPr>
                <w:b/>
                <w:bCs/>
                <w:color w:val="FFFFFF"/>
                <w:sz w:val="19"/>
                <w:szCs w:val="19"/>
              </w:rPr>
              <w:t xml:space="preserve">Role</w:t>
            </w:r>
          </w:p>
        </w:tc>
        <w:tc>
          <w:tcPr>
            <w:tcW w:type="dxa" w:w="3300"/>
            <w:shd w:fill="1F4E79" w:val="clear"/>
            <w:tcMar>
              <w:top w:type="dxa" w:w="60"/>
              <w:left w:type="dxa" w:w="100"/>
              <w:bottom w:type="dxa" w:w="60"/>
              <w:right w:type="dxa" w:w="100"/>
            </w:tcMar>
          </w:tcPr>
          <w:p>
            <w:r>
              <w:rPr>
                <w:b/>
                <w:bCs/>
                <w:color w:val="FFFFFF"/>
                <w:sz w:val="19"/>
                <w:szCs w:val="19"/>
              </w:rPr>
              <w:t xml:space="preserve">Name / Group</w:t>
            </w:r>
          </w:p>
        </w:tc>
        <w:tc>
          <w:tcPr>
            <w:tcW w:type="dxa" w:w="3500"/>
            <w:shd w:fill="1F4E79" w:val="clear"/>
            <w:tcMar>
              <w:top w:type="dxa" w:w="60"/>
              <w:left w:type="dxa" w:w="100"/>
              <w:bottom w:type="dxa" w:w="60"/>
              <w:right w:type="dxa" w:w="100"/>
            </w:tcMar>
          </w:tcPr>
          <w:p>
            <w:r>
              <w:rPr>
                <w:b/>
                <w:bCs/>
                <w:color w:val="FFFFFF"/>
                <w:sz w:val="19"/>
                <w:szCs w:val="19"/>
              </w:rPr>
              <w:t xml:space="preserve">Responsibility</w:t>
            </w:r>
          </w:p>
        </w:tc>
      </w:tr>
      <w:tr>
        <w:tc>
          <w:tcPr>
            <w:tcW w:type="dxa" w:w="2400"/>
            <w:tcMar>
              <w:top w:type="dxa" w:w="60"/>
              <w:left w:type="dxa" w:w="100"/>
              <w:bottom w:type="dxa" w:w="60"/>
              <w:right w:type="dxa" w:w="100"/>
            </w:tcMar>
          </w:tcPr>
          <w:p>
            <w:r>
              <w:rPr>
                <w:b w:val="false"/>
                <w:bCs w:val="false"/>
                <w:color w:val="000000"/>
                <w:sz w:val="19"/>
                <w:szCs w:val="19"/>
              </w:rPr>
              <w:t xml:space="preserve">Executive Sponsor</w:t>
            </w:r>
          </w:p>
        </w:tc>
        <w:tc>
          <w:tcPr>
            <w:tcW w:type="dxa" w:w="3300"/>
            <w:tcMar>
              <w:top w:type="dxa" w:w="60"/>
              <w:left w:type="dxa" w:w="100"/>
              <w:bottom w:type="dxa" w:w="60"/>
              <w:right w:type="dxa" w:w="100"/>
            </w:tcMar>
          </w:tcPr>
          <w:p>
            <w:r>
              <w:rPr>
                <w:b w:val="false"/>
                <w:bCs w:val="false"/>
                <w:color w:val="000000"/>
                <w:sz w:val="19"/>
                <w:szCs w:val="19"/>
              </w:rPr>
              <w:t xml:space="preserve">Office of the CEO</w:t>
            </w:r>
          </w:p>
        </w:tc>
        <w:tc>
          <w:tcPr>
            <w:tcW w:type="dxa" w:w="3500"/>
            <w:tcMar>
              <w:top w:type="dxa" w:w="60"/>
              <w:left w:type="dxa" w:w="100"/>
              <w:bottom w:type="dxa" w:w="60"/>
              <w:right w:type="dxa" w:w="100"/>
            </w:tcMar>
          </w:tcPr>
          <w:p>
            <w:r>
              <w:rPr>
                <w:b w:val="false"/>
                <w:bCs w:val="false"/>
                <w:color w:val="000000"/>
                <w:sz w:val="19"/>
                <w:szCs w:val="19"/>
              </w:rPr>
              <w:t xml:space="preserve">Overall accountability for business outcomes and budget</w:t>
            </w:r>
          </w:p>
        </w:tc>
      </w:tr>
      <w:tr>
        <w:tc>
          <w:tcPr>
            <w:tcW w:type="dxa" w:w="2400"/>
            <w:tcMar>
              <w:top w:type="dxa" w:w="60"/>
              <w:left w:type="dxa" w:w="100"/>
              <w:bottom w:type="dxa" w:w="60"/>
              <w:right w:type="dxa" w:w="100"/>
            </w:tcMar>
          </w:tcPr>
          <w:p>
            <w:r>
              <w:rPr>
                <w:b w:val="false"/>
                <w:bCs w:val="false"/>
                <w:color w:val="000000"/>
                <w:sz w:val="19"/>
                <w:szCs w:val="19"/>
              </w:rPr>
              <w:t xml:space="preserve">Project Sponsor</w:t>
            </w:r>
          </w:p>
        </w:tc>
        <w:tc>
          <w:tcPr>
            <w:tcW w:type="dxa" w:w="3300"/>
            <w:tcMar>
              <w:top w:type="dxa" w:w="60"/>
              <w:left w:type="dxa" w:w="100"/>
              <w:bottom w:type="dxa" w:w="60"/>
              <w:right w:type="dxa" w:w="100"/>
            </w:tcMar>
          </w:tcPr>
          <w:p>
            <w:r>
              <w:rPr>
                <w:b w:val="false"/>
                <w:bCs w:val="false"/>
                <w:color w:val="000000"/>
                <w:sz w:val="19"/>
                <w:szCs w:val="19"/>
              </w:rPr>
              <w:t xml:space="preserve">CIO</w:t>
            </w:r>
          </w:p>
        </w:tc>
        <w:tc>
          <w:tcPr>
            <w:tcW w:type="dxa" w:w="3500"/>
            <w:tcMar>
              <w:top w:type="dxa" w:w="60"/>
              <w:left w:type="dxa" w:w="100"/>
              <w:bottom w:type="dxa" w:w="60"/>
              <w:right w:type="dxa" w:w="100"/>
            </w:tcMar>
          </w:tcPr>
          <w:p>
            <w:r>
              <w:rPr>
                <w:b w:val="false"/>
                <w:bCs w:val="false"/>
                <w:color w:val="000000"/>
                <w:sz w:val="19"/>
                <w:szCs w:val="19"/>
              </w:rPr>
              <w:t xml:space="preserve">Strategic alignment and cross-department prioritization</w:t>
            </w:r>
          </w:p>
        </w:tc>
      </w:tr>
      <w:tr>
        <w:tc>
          <w:tcPr>
            <w:tcW w:type="dxa" w:w="2400"/>
            <w:tcMar>
              <w:top w:type="dxa" w:w="60"/>
              <w:left w:type="dxa" w:w="100"/>
              <w:bottom w:type="dxa" w:w="60"/>
              <w:right w:type="dxa" w:w="100"/>
            </w:tcMar>
          </w:tcPr>
          <w:p>
            <w:r>
              <w:rPr>
                <w:b w:val="false"/>
                <w:bCs w:val="false"/>
                <w:color w:val="000000"/>
                <w:sz w:val="19"/>
                <w:szCs w:val="19"/>
              </w:rPr>
              <w:t xml:space="preserve">Project Manager</w:t>
            </w:r>
          </w:p>
        </w:tc>
        <w:tc>
          <w:tcPr>
            <w:tcW w:type="dxa" w:w="3300"/>
            <w:tcMar>
              <w:top w:type="dxa" w:w="60"/>
              <w:left w:type="dxa" w:w="100"/>
              <w:bottom w:type="dxa" w:w="60"/>
              <w:right w:type="dxa" w:w="100"/>
            </w:tcMar>
          </w:tcPr>
          <w:p>
            <w:r>
              <w:rPr>
                <w:b w:val="false"/>
                <w:bCs w:val="false"/>
                <w:color w:val="000000"/>
                <w:sz w:val="19"/>
                <w:szCs w:val="19"/>
              </w:rPr>
              <w:t xml:space="preserve">PMO</w:t>
            </w:r>
          </w:p>
        </w:tc>
        <w:tc>
          <w:tcPr>
            <w:tcW w:type="dxa" w:w="3500"/>
            <w:tcMar>
              <w:top w:type="dxa" w:w="60"/>
              <w:left w:type="dxa" w:w="100"/>
              <w:bottom w:type="dxa" w:w="60"/>
              <w:right w:type="dxa" w:w="100"/>
            </w:tcMar>
          </w:tcPr>
          <w:p>
            <w:r>
              <w:rPr>
                <w:b w:val="false"/>
                <w:bCs w:val="false"/>
                <w:color w:val="000000"/>
                <w:sz w:val="19"/>
                <w:szCs w:val="19"/>
              </w:rPr>
              <w:t xml:space="preserve">Day-to-day delivery, schedule, and risk management</w:t>
            </w:r>
          </w:p>
        </w:tc>
      </w:tr>
      <w:tr>
        <w:tc>
          <w:tcPr>
            <w:tcW w:type="dxa" w:w="2400"/>
            <w:tcMar>
              <w:top w:type="dxa" w:w="60"/>
              <w:left w:type="dxa" w:w="100"/>
              <w:bottom w:type="dxa" w:w="60"/>
              <w:right w:type="dxa" w:w="100"/>
            </w:tcMar>
          </w:tcPr>
          <w:p>
            <w:r>
              <w:rPr>
                <w:b w:val="false"/>
                <w:bCs w:val="false"/>
                <w:color w:val="000000"/>
                <w:sz w:val="19"/>
                <w:szCs w:val="19"/>
              </w:rPr>
              <w:t xml:space="preserve">Technical Architect</w:t>
            </w:r>
          </w:p>
        </w:tc>
        <w:tc>
          <w:tcPr>
            <w:tcW w:type="dxa" w:w="3300"/>
            <w:tcMar>
              <w:top w:type="dxa" w:w="60"/>
              <w:left w:type="dxa" w:w="100"/>
              <w:bottom w:type="dxa" w:w="60"/>
              <w:right w:type="dxa" w:w="100"/>
            </w:tcMar>
          </w:tcPr>
          <w:p>
            <w:r>
              <w:rPr>
                <w:b w:val="false"/>
                <w:bCs w:val="false"/>
                <w:color w:val="000000"/>
                <w:sz w:val="19"/>
                <w:szCs w:val="19"/>
              </w:rPr>
              <w:t xml:space="preserve">Architecture Team</w:t>
            </w:r>
          </w:p>
        </w:tc>
        <w:tc>
          <w:tcPr>
            <w:tcW w:type="dxa" w:w="3500"/>
            <w:tcMar>
              <w:top w:type="dxa" w:w="60"/>
              <w:left w:type="dxa" w:w="100"/>
              <w:bottom w:type="dxa" w:w="60"/>
              <w:right w:type="dxa" w:w="100"/>
            </w:tcMar>
          </w:tcPr>
          <w:p>
            <w:r>
              <w:rPr>
                <w:b w:val="false"/>
                <w:bCs w:val="false"/>
                <w:color w:val="000000"/>
                <w:sz w:val="19"/>
                <w:szCs w:val="19"/>
              </w:rPr>
              <w:t xml:space="preserve">Solution design and integration decisions</w:t>
            </w:r>
          </w:p>
        </w:tc>
      </w:tr>
      <w:tr>
        <w:tc>
          <w:tcPr>
            <w:tcW w:type="dxa" w:w="2400"/>
            <w:tcMar>
              <w:top w:type="dxa" w:w="60"/>
              <w:left w:type="dxa" w:w="100"/>
              <w:bottom w:type="dxa" w:w="60"/>
              <w:right w:type="dxa" w:w="100"/>
            </w:tcMar>
          </w:tcPr>
          <w:p>
            <w:r>
              <w:rPr>
                <w:b w:val="false"/>
                <w:bCs w:val="false"/>
                <w:color w:val="000000"/>
                <w:sz w:val="19"/>
                <w:szCs w:val="19"/>
              </w:rPr>
              <w:t xml:space="preserve">Department Leads</w:t>
            </w:r>
          </w:p>
        </w:tc>
        <w:tc>
          <w:tcPr>
            <w:tcW w:type="dxa" w:w="3300"/>
            <w:tcMar>
              <w:top w:type="dxa" w:w="60"/>
              <w:left w:type="dxa" w:w="100"/>
              <w:bottom w:type="dxa" w:w="60"/>
              <w:right w:type="dxa" w:w="100"/>
            </w:tcMar>
          </w:tcPr>
          <w:p>
            <w:r>
              <w:rPr>
                <w:b w:val="false"/>
                <w:bCs w:val="false"/>
                <w:color w:val="000000"/>
                <w:sz w:val="19"/>
                <w:szCs w:val="19"/>
              </w:rPr>
              <w:t xml:space="preserve">Sales, Finance, Supply Chain, Procurement, Operations</w:t>
            </w:r>
          </w:p>
        </w:tc>
        <w:tc>
          <w:tcPr>
            <w:tcW w:type="dxa" w:w="3500"/>
            <w:tcMar>
              <w:top w:type="dxa" w:w="60"/>
              <w:left w:type="dxa" w:w="100"/>
              <w:bottom w:type="dxa" w:w="60"/>
              <w:right w:type="dxa" w:w="100"/>
            </w:tcMar>
          </w:tcPr>
          <w:p>
            <w:r>
              <w:rPr>
                <w:b w:val="false"/>
                <w:bCs w:val="false"/>
                <w:color w:val="000000"/>
                <w:sz w:val="19"/>
                <w:szCs w:val="19"/>
              </w:rPr>
              <w:t xml:space="preserve">Requirements validation and user acceptance testing</w:t>
            </w:r>
          </w:p>
        </w:tc>
      </w:tr>
      <w:tr>
        <w:tc>
          <w:tcPr>
            <w:tcW w:type="dxa" w:w="2400"/>
            <w:tcMar>
              <w:top w:type="dxa" w:w="60"/>
              <w:left w:type="dxa" w:w="100"/>
              <w:bottom w:type="dxa" w:w="60"/>
              <w:right w:type="dxa" w:w="100"/>
            </w:tcMar>
          </w:tcPr>
          <w:p>
            <w:r>
              <w:rPr>
                <w:b w:val="false"/>
                <w:bCs w:val="false"/>
                <w:color w:val="000000"/>
                <w:sz w:val="19"/>
                <w:szCs w:val="19"/>
              </w:rPr>
              <w:t xml:space="preserve">End Users</w:t>
            </w:r>
          </w:p>
        </w:tc>
        <w:tc>
          <w:tcPr>
            <w:tcW w:type="dxa" w:w="3300"/>
            <w:tcMar>
              <w:top w:type="dxa" w:w="60"/>
              <w:left w:type="dxa" w:w="100"/>
              <w:bottom w:type="dxa" w:w="60"/>
              <w:right w:type="dxa" w:w="100"/>
            </w:tcMar>
          </w:tcPr>
          <w:p>
            <w:r>
              <w:rPr>
                <w:b w:val="false"/>
                <w:bCs w:val="false"/>
                <w:color w:val="000000"/>
                <w:sz w:val="19"/>
                <w:szCs w:val="19"/>
              </w:rPr>
              <w:t xml:space="preserve">All departments</w:t>
            </w:r>
          </w:p>
        </w:tc>
        <w:tc>
          <w:tcPr>
            <w:tcW w:type="dxa" w:w="3500"/>
            <w:tcMar>
              <w:top w:type="dxa" w:w="60"/>
              <w:left w:type="dxa" w:w="100"/>
              <w:bottom w:type="dxa" w:w="60"/>
              <w:right w:type="dxa" w:w="100"/>
            </w:tcMar>
          </w:tcPr>
          <w:p>
            <w:r>
              <w:rPr>
                <w:b w:val="false"/>
                <w:bCs w:val="false"/>
                <w:color w:val="000000"/>
                <w:sz w:val="19"/>
                <w:szCs w:val="19"/>
              </w:rPr>
              <w:t xml:space="preserve">Daily use of the platform post go-live</w:t>
            </w:r>
          </w:p>
        </w:tc>
      </w:tr>
    </w:tbl>
    <w:p>
      <w:pPr>
        <w:pStyle w:val="Heading2"/>
        <w:spacing w:after="100" w:before="220"/>
      </w:pPr>
      <w:r>
        <w:rPr>
          <w:b/>
          <w:bCs/>
        </w:rPr>
        <w:t xml:space="preserve">4. Assumptions</w:t>
      </w:r>
    </w:p>
    <w:p>
      <w:pPr>
        <w:spacing w:after="60"/>
        <w:ind w:left="360"/>
      </w:pPr>
      <w:r>
        <w:rPr>
          <w:sz w:val="21"/>
          <w:szCs w:val="21"/>
        </w:rPr>
        <w:t xml:space="preserve">• All in-scope departments will have dedicated subject-matter experts available for requirements workshops and user acceptance testing.</w:t>
      </w:r>
    </w:p>
    <w:p>
      <w:pPr>
        <w:spacing w:after="60"/>
        <w:ind w:left="360"/>
      </w:pPr>
      <w:r>
        <w:rPr>
          <w:sz w:val="21"/>
          <w:szCs w:val="21"/>
        </w:rPr>
        <w:t xml:space="preserve">• Historical data from legacy systems is sufficiently clean to migrate without a lengthy cleansing project; a data-quality assessment will confirm this in Phase 1.</w:t>
      </w:r>
    </w:p>
    <w:p>
      <w:pPr>
        <w:spacing w:after="60"/>
        <w:ind w:left="360"/>
      </w:pPr>
      <w:r>
        <w:rPr>
          <w:sz w:val="21"/>
          <w:szCs w:val="21"/>
        </w:rPr>
        <w:t xml:space="preserve">• The organization’s existing Microsoft 365 tenant licensing is sufficient to support the planned integrations without additional procurement.</w:t>
      </w:r>
    </w:p>
    <w:p>
      <w:pPr>
        <w:spacing w:after="60"/>
        <w:ind w:left="360"/>
      </w:pPr>
      <w:r>
        <w:rPr>
          <w:sz w:val="21"/>
          <w:szCs w:val="21"/>
        </w:rPr>
        <w:t xml:space="preserve">• Vendor-selected implementation partner resources will be available for the full duration of the build and testing phases.</w:t>
      </w:r>
    </w:p>
    <w:p>
      <w:pPr>
        <w:pStyle w:val="Heading2"/>
        <w:spacing w:after="100" w:before="220"/>
      </w:pPr>
      <w:r>
        <w:rPr>
          <w:b/>
          <w:bCs/>
        </w:rPr>
        <w:t xml:space="preserve">5.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3400"/>
      </w:tblGrid>
      <w:tr>
        <w:tc>
          <w:tcPr>
            <w:tcW w:type="dxa" w:w="3200"/>
            <w:shd w:fill="1F4E79" w:val="clear"/>
            <w:tcMar>
              <w:top w:type="dxa" w:w="60"/>
              <w:left w:type="dxa" w:w="100"/>
              <w:bottom w:type="dxa" w:w="60"/>
              <w:right w:type="dxa" w:w="100"/>
            </w:tcMar>
          </w:tcPr>
          <w:p>
            <w:r>
              <w:rPr>
                <w:b/>
                <w:bCs/>
                <w:color w:val="FFFFFF"/>
                <w:sz w:val="19"/>
                <w:szCs w:val="19"/>
              </w:rPr>
              <w:t xml:space="preserve">Risk</w:t>
            </w:r>
          </w:p>
        </w:tc>
        <w:tc>
          <w:tcPr>
            <w:tcW w:type="dxa" w:w="1300"/>
            <w:shd w:fill="1F4E79" w:val="clear"/>
            <w:tcMar>
              <w:top w:type="dxa" w:w="60"/>
              <w:left w:type="dxa" w:w="100"/>
              <w:bottom w:type="dxa" w:w="60"/>
              <w:right w:type="dxa" w:w="100"/>
            </w:tcMar>
          </w:tcPr>
          <w:p>
            <w:r>
              <w:rPr>
                <w:b/>
                <w:bCs/>
                <w:color w:val="FFFFFF"/>
                <w:sz w:val="19"/>
                <w:szCs w:val="19"/>
              </w:rPr>
              <w:t xml:space="preserve">Likelihood</w:t>
            </w:r>
          </w:p>
        </w:tc>
        <w:tc>
          <w:tcPr>
            <w:tcW w:type="dxa" w:w="1300"/>
            <w:shd w:fill="1F4E79" w:val="clear"/>
            <w:tcMar>
              <w:top w:type="dxa" w:w="60"/>
              <w:left w:type="dxa" w:w="100"/>
              <w:bottom w:type="dxa" w:w="60"/>
              <w:right w:type="dxa" w:w="100"/>
            </w:tcMar>
          </w:tcPr>
          <w:p>
            <w:r>
              <w:rPr>
                <w:b/>
                <w:bCs/>
                <w:color w:val="FFFFFF"/>
                <w:sz w:val="19"/>
                <w:szCs w:val="19"/>
              </w:rPr>
              <w:t xml:space="preserve">Impact</w:t>
            </w:r>
          </w:p>
        </w:tc>
        <w:tc>
          <w:tcPr>
            <w:tcW w:type="dxa" w:w="3400"/>
            <w:shd w:fill="1F4E79" w:val="clear"/>
            <w:tcMar>
              <w:top w:type="dxa" w:w="60"/>
              <w:left w:type="dxa" w:w="100"/>
              <w:bottom w:type="dxa" w:w="60"/>
              <w:right w:type="dxa" w:w="100"/>
            </w:tcMar>
          </w:tcPr>
          <w:p>
            <w:r>
              <w:rPr>
                <w:b/>
                <w:bCs/>
                <w:color w:val="FFFFFF"/>
                <w:sz w:val="19"/>
                <w:szCs w:val="19"/>
              </w:rPr>
              <w:t xml:space="preserve">Mitigation</w:t>
            </w:r>
          </w:p>
        </w:tc>
      </w:tr>
      <w:tr>
        <w:tc>
          <w:tcPr>
            <w:tcW w:type="dxa" w:w="3200"/>
            <w:tcMar>
              <w:top w:type="dxa" w:w="60"/>
              <w:left w:type="dxa" w:w="100"/>
              <w:bottom w:type="dxa" w:w="60"/>
              <w:right w:type="dxa" w:w="100"/>
            </w:tcMar>
          </w:tcPr>
          <w:p>
            <w:r>
              <w:rPr>
                <w:b w:val="false"/>
                <w:bCs w:val="false"/>
                <w:color w:val="000000"/>
                <w:sz w:val="19"/>
                <w:szCs w:val="19"/>
              </w:rPr>
              <w:t xml:space="preserve">Legacy data quality issues surface during migration</w:t>
            </w:r>
          </w:p>
        </w:tc>
        <w:tc>
          <w:tcPr>
            <w:tcW w:type="dxa" w:w="1300"/>
            <w:tcMar>
              <w:top w:type="dxa" w:w="60"/>
              <w:left w:type="dxa" w:w="100"/>
              <w:bottom w:type="dxa" w:w="60"/>
              <w:right w:type="dxa" w:w="100"/>
            </w:tcMar>
          </w:tcPr>
          <w:p>
            <w:r>
              <w:rPr>
                <w:b w:val="false"/>
                <w:bCs w:val="false"/>
                <w:color w:val="000000"/>
                <w:sz w:val="19"/>
                <w:szCs w:val="19"/>
              </w:rPr>
              <w:t xml:space="preserve">Medium</w:t>
            </w:r>
          </w:p>
        </w:tc>
        <w:tc>
          <w:tcPr>
            <w:tcW w:type="dxa" w:w="1300"/>
            <w:tcMar>
              <w:top w:type="dxa" w:w="60"/>
              <w:left w:type="dxa" w:w="100"/>
              <w:bottom w:type="dxa" w:w="60"/>
              <w:right w:type="dxa" w:w="100"/>
            </w:tcMar>
          </w:tcPr>
          <w:p>
            <w:r>
              <w:rPr>
                <w:b w:val="false"/>
                <w:bCs w:val="false"/>
                <w:color w:val="000000"/>
                <w:sz w:val="19"/>
                <w:szCs w:val="19"/>
              </w:rPr>
              <w:t xml:space="preserve">High</w:t>
            </w:r>
          </w:p>
        </w:tc>
        <w:tc>
          <w:tcPr>
            <w:tcW w:type="dxa" w:w="3400"/>
            <w:tcMar>
              <w:top w:type="dxa" w:w="60"/>
              <w:left w:type="dxa" w:w="100"/>
              <w:bottom w:type="dxa" w:w="60"/>
              <w:right w:type="dxa" w:w="100"/>
            </w:tcMar>
          </w:tcPr>
          <w:p>
            <w:r>
              <w:rPr>
                <w:b w:val="false"/>
                <w:bCs w:val="false"/>
                <w:color w:val="000000"/>
                <w:sz w:val="19"/>
                <w:szCs w:val="19"/>
              </w:rPr>
              <w:t xml:space="preserve">Run a data-quality assessment in Phase 1 before migration scripts are finalized</w:t>
            </w:r>
          </w:p>
        </w:tc>
      </w:tr>
      <w:tr>
        <w:tc>
          <w:tcPr>
            <w:tcW w:type="dxa" w:w="3200"/>
            <w:tcMar>
              <w:top w:type="dxa" w:w="60"/>
              <w:left w:type="dxa" w:w="100"/>
              <w:bottom w:type="dxa" w:w="60"/>
              <w:right w:type="dxa" w:w="100"/>
            </w:tcMar>
          </w:tcPr>
          <w:p>
            <w:r>
              <w:rPr>
                <w:b w:val="false"/>
                <w:bCs w:val="false"/>
                <w:color w:val="000000"/>
                <w:sz w:val="19"/>
                <w:szCs w:val="19"/>
              </w:rPr>
              <w:t xml:space="preserve">Cross-department requirements conflict (e.g., Finance vs. Sales workflow needs)</w:t>
            </w:r>
          </w:p>
        </w:tc>
        <w:tc>
          <w:tcPr>
            <w:tcW w:type="dxa" w:w="1300"/>
            <w:tcMar>
              <w:top w:type="dxa" w:w="60"/>
              <w:left w:type="dxa" w:w="100"/>
              <w:bottom w:type="dxa" w:w="60"/>
              <w:right w:type="dxa" w:w="100"/>
            </w:tcMar>
          </w:tcPr>
          <w:p>
            <w:r>
              <w:rPr>
                <w:b w:val="false"/>
                <w:bCs w:val="false"/>
                <w:color w:val="000000"/>
                <w:sz w:val="19"/>
                <w:szCs w:val="19"/>
              </w:rPr>
              <w:t xml:space="preserve">Medium</w:t>
            </w:r>
          </w:p>
        </w:tc>
        <w:tc>
          <w:tcPr>
            <w:tcW w:type="dxa" w:w="1300"/>
            <w:tcMar>
              <w:top w:type="dxa" w:w="60"/>
              <w:left w:type="dxa" w:w="100"/>
              <w:bottom w:type="dxa" w:w="60"/>
              <w:right w:type="dxa" w:w="100"/>
            </w:tcMar>
          </w:tcPr>
          <w:p>
            <w:r>
              <w:rPr>
                <w:b w:val="false"/>
                <w:bCs w:val="false"/>
                <w:color w:val="000000"/>
                <w:sz w:val="19"/>
                <w:szCs w:val="19"/>
              </w:rPr>
              <w:t xml:space="preserve">Medium</w:t>
            </w:r>
          </w:p>
        </w:tc>
        <w:tc>
          <w:tcPr>
            <w:tcW w:type="dxa" w:w="3400"/>
            <w:tcMar>
              <w:top w:type="dxa" w:w="60"/>
              <w:left w:type="dxa" w:w="100"/>
              <w:bottom w:type="dxa" w:w="60"/>
              <w:right w:type="dxa" w:w="100"/>
            </w:tcMar>
          </w:tcPr>
          <w:p>
            <w:r>
              <w:rPr>
                <w:b w:val="false"/>
                <w:bCs w:val="false"/>
                <w:color w:val="000000"/>
                <w:sz w:val="19"/>
                <w:szCs w:val="19"/>
              </w:rPr>
              <w:t xml:space="preserve">Weekly cross-functional design review chaired by the Technical Architect</w:t>
            </w:r>
          </w:p>
        </w:tc>
      </w:tr>
      <w:tr>
        <w:tc>
          <w:tcPr>
            <w:tcW w:type="dxa" w:w="3200"/>
            <w:tcMar>
              <w:top w:type="dxa" w:w="60"/>
              <w:left w:type="dxa" w:w="100"/>
              <w:bottom w:type="dxa" w:w="60"/>
              <w:right w:type="dxa" w:w="100"/>
            </w:tcMar>
          </w:tcPr>
          <w:p>
            <w:r>
              <w:rPr>
                <w:b w:val="false"/>
                <w:bCs w:val="false"/>
                <w:color w:val="000000"/>
                <w:sz w:val="19"/>
                <w:szCs w:val="19"/>
              </w:rPr>
              <w:t xml:space="preserve">User adoption lags after go-live</w:t>
            </w:r>
          </w:p>
        </w:tc>
        <w:tc>
          <w:tcPr>
            <w:tcW w:type="dxa" w:w="1300"/>
            <w:tcMar>
              <w:top w:type="dxa" w:w="60"/>
              <w:left w:type="dxa" w:w="100"/>
              <w:bottom w:type="dxa" w:w="60"/>
              <w:right w:type="dxa" w:w="100"/>
            </w:tcMar>
          </w:tcPr>
          <w:p>
            <w:r>
              <w:rPr>
                <w:b w:val="false"/>
                <w:bCs w:val="false"/>
                <w:color w:val="000000"/>
                <w:sz w:val="19"/>
                <w:szCs w:val="19"/>
              </w:rPr>
              <w:t xml:space="preserve">Medium</w:t>
            </w:r>
          </w:p>
        </w:tc>
        <w:tc>
          <w:tcPr>
            <w:tcW w:type="dxa" w:w="1300"/>
            <w:tcMar>
              <w:top w:type="dxa" w:w="60"/>
              <w:left w:type="dxa" w:w="100"/>
              <w:bottom w:type="dxa" w:w="60"/>
              <w:right w:type="dxa" w:w="100"/>
            </w:tcMar>
          </w:tcPr>
          <w:p>
            <w:r>
              <w:rPr>
                <w:b w:val="false"/>
                <w:bCs w:val="false"/>
                <w:color w:val="000000"/>
                <w:sz w:val="19"/>
                <w:szCs w:val="19"/>
              </w:rPr>
              <w:t xml:space="preserve">High</w:t>
            </w:r>
          </w:p>
        </w:tc>
        <w:tc>
          <w:tcPr>
            <w:tcW w:type="dxa" w:w="3400"/>
            <w:tcMar>
              <w:top w:type="dxa" w:w="60"/>
              <w:left w:type="dxa" w:w="100"/>
              <w:bottom w:type="dxa" w:w="60"/>
              <w:right w:type="dxa" w:w="100"/>
            </w:tcMar>
          </w:tcPr>
          <w:p>
            <w:r>
              <w:rPr>
                <w:b w:val="false"/>
                <w:bCs w:val="false"/>
                <w:color w:val="000000"/>
                <w:sz w:val="19"/>
                <w:szCs w:val="19"/>
              </w:rPr>
              <w:t xml:space="preserve">Structured training program and a hypercare support period for 4 weeks post go-live</w:t>
            </w:r>
          </w:p>
        </w:tc>
      </w:tr>
      <w:tr>
        <w:tc>
          <w:tcPr>
            <w:tcW w:type="dxa" w:w="3200"/>
            <w:tcMar>
              <w:top w:type="dxa" w:w="60"/>
              <w:left w:type="dxa" w:w="100"/>
              <w:bottom w:type="dxa" w:w="60"/>
              <w:right w:type="dxa" w:w="100"/>
            </w:tcMar>
          </w:tcPr>
          <w:p>
            <w:r>
              <w:rPr>
                <w:b w:val="false"/>
                <w:bCs w:val="false"/>
                <w:color w:val="000000"/>
                <w:sz w:val="19"/>
                <w:szCs w:val="19"/>
              </w:rPr>
              <w:t xml:space="preserve">Vendor implementation resources are reassigned mid-project</w:t>
            </w:r>
          </w:p>
        </w:tc>
        <w:tc>
          <w:tcPr>
            <w:tcW w:type="dxa" w:w="1300"/>
            <w:tcMar>
              <w:top w:type="dxa" w:w="60"/>
              <w:left w:type="dxa" w:w="100"/>
              <w:bottom w:type="dxa" w:w="60"/>
              <w:right w:type="dxa" w:w="100"/>
            </w:tcMar>
          </w:tcPr>
          <w:p>
            <w:r>
              <w:rPr>
                <w:b w:val="false"/>
                <w:bCs w:val="false"/>
                <w:color w:val="000000"/>
                <w:sz w:val="19"/>
                <w:szCs w:val="19"/>
              </w:rPr>
              <w:t xml:space="preserve">Low</w:t>
            </w:r>
          </w:p>
        </w:tc>
        <w:tc>
          <w:tcPr>
            <w:tcW w:type="dxa" w:w="1300"/>
            <w:tcMar>
              <w:top w:type="dxa" w:w="60"/>
              <w:left w:type="dxa" w:w="100"/>
              <w:bottom w:type="dxa" w:w="60"/>
              <w:right w:type="dxa" w:w="100"/>
            </w:tcMar>
          </w:tcPr>
          <w:p>
            <w:r>
              <w:rPr>
                <w:b w:val="false"/>
                <w:bCs w:val="false"/>
                <w:color w:val="000000"/>
                <w:sz w:val="19"/>
                <w:szCs w:val="19"/>
              </w:rPr>
              <w:t xml:space="preserve">High</w:t>
            </w:r>
          </w:p>
        </w:tc>
        <w:tc>
          <w:tcPr>
            <w:tcW w:type="dxa" w:w="3400"/>
            <w:tcMar>
              <w:top w:type="dxa" w:w="60"/>
              <w:left w:type="dxa" w:w="100"/>
              <w:bottom w:type="dxa" w:w="60"/>
              <w:right w:type="dxa" w:w="100"/>
            </w:tcMar>
          </w:tcPr>
          <w:p>
            <w:r>
              <w:rPr>
                <w:b w:val="false"/>
                <w:bCs w:val="false"/>
                <w:color w:val="000000"/>
                <w:sz w:val="19"/>
                <w:szCs w:val="19"/>
              </w:rPr>
              <w:t xml:space="preserve">Named-resource clause in the statement of work with the implementation partner</w:t>
            </w:r>
          </w:p>
        </w:tc>
      </w:tr>
    </w:tbl>
    <w:p>
      <w:pPr>
        <w:pStyle w:val="Heading2"/>
        <w:spacing w:after="100" w:before="220"/>
      </w:pPr>
      <w:r>
        <w:rPr>
          <w:b/>
          <w:bCs/>
        </w:rPr>
        <w:t xml:space="preserve">6. Out of Scope</w:t>
      </w:r>
    </w:p>
    <w:p>
      <w:pPr>
        <w:spacing w:after="120"/>
      </w:pPr>
      <w:r>
        <w:rPr>
          <w:sz w:val="21"/>
          <w:szCs w:val="21"/>
        </w:rPr>
        <w:t xml:space="preserve">The following items were considered during discovery but are explicitly excluded from Project Orion’s current phase: integration with the company’s legacy e-commerce storefront (planned for a subsequent phase once the core ERP is stable); the loyalty and rewards program used by Retail accounts, which will continue to run on its existing platform; and any hardware refresh for warehouse scanning devices, which is being tracked as a separate Infrastructure initiative outside this project’s budget. Keeping these out of scope allows the team to focus on the five core business functions without expanding the timeline or budget approved by the Executive Steering Committee.</w:t>
      </w:r>
    </w:p>
    <w:p>
      <w:pPr>
        <w:pStyle w:val="Heading2"/>
        <w:spacing w:after="100" w:before="220"/>
      </w:pPr>
      <w:r>
        <w:rPr>
          <w:b/>
          <w:bCs/>
        </w:rPr>
        <w:t xml:space="preserve">7. Success Criteria</w:t>
      </w:r>
    </w:p>
    <w:p>
      <w:pPr>
        <w:spacing w:after="120"/>
      </w:pPr>
      <w:r>
        <w:rPr>
          <w:sz w:val="21"/>
          <w:szCs w:val="21"/>
        </w:rPr>
        <w:t xml:space="preserve">Project Orion will be considered successful at go-live if the following conditions are met: all five in-scope business functions are operating on the new platform with no critical defects open; the data migration from legacy systems is verified complete and reconciled against source records; end users across all departments have completed mandatory training; and the deployment readiness checklist (servers, backup, disaster recovery, and monitoring) is fully signed off by the Infrastructure team. Ongoing success will be measured 90 days post go-live against the objectives in Section 1, specifically order-to-cash cycle time, month-end close duration, and inventory visibility metrics.</w:t>
      </w:r>
    </w:p>
    <w:p>
      <w:pPr>
        <w:spacing w:after="120"/>
      </w:pPr>
      <w:r>
        <w:rPr>
          <w:sz w:val="21"/>
          <w:szCs w:val="21"/>
        </w:rPr>
        <w:t xml:space="preserve">This document is maintained by the PMO and reviewed at each project stage gate. Any change to objectives, scope, or stakeholders requires sign-off from the Project Sponsor. The current version supersedes all prior drafts circulated during the discovery phase.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2026-07-13T09:40:35.811Z</dcterms:created>
  <dcterms:modified xsi:type="dcterms:W3CDTF">2026-07-13T09:40:35.811Z</dcterms:modified>
</cp:coreProperties>
</file>

<file path=docProps/custom.xml><?xml version="1.0" encoding="utf-8"?>
<Properties xmlns="http://schemas.openxmlformats.org/officeDocument/2006/custom-properties" xmlns:vt="http://schemas.openxmlformats.org/officeDocument/2006/docPropsVTypes"/>
</file>