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Vendor Evaluation Report — ERP Platform Selection</w:t>
      </w:r>
    </w:p>
    <w:p>
      <w:pPr>
        <w:spacing w:after="240"/>
      </w:pPr>
      <w:r>
        <w:rPr>
          <w:color w:val="666666"/>
          <w:sz w:val="18"/>
          <w:szCs w:val="18"/>
        </w:rPr>
        <w:t xml:space="preserve">Contoso Electronics · Project Orion · Prepared by: Technical Architect &amp; Procurement · Version 1.0</w:t>
      </w:r>
    </w:p>
    <w:p>
      <w:pPr>
        <w:pStyle w:val="Heading2"/>
        <w:spacing w:after="100" w:before="220"/>
      </w:pPr>
      <w:r>
        <w:rPr>
          <w:b/>
          <w:bCs/>
        </w:rPr>
        <w:t xml:space="preserve">1. Purpose and Scope</w:t>
      </w:r>
    </w:p>
    <w:p>
      <w:pPr>
        <w:spacing w:after="120"/>
      </w:pPr>
      <w:r>
        <w:rPr>
          <w:sz w:val="21"/>
          <w:szCs w:val="21"/>
        </w:rPr>
        <w:t xml:space="preserve">This report compares three ERP platform vendors — Microsoft, SAP, and Oracle — evaluated as candidates for the Project Orion modernization initiative. Each vendor was scored on five weighted criteria: cost, functionality, support, scalability, and implementation risk. Scores are on a 1–10 scale (10 = best), based on vendor demonstrations, reference-customer calls, and responses to Contoso’s formal request for proposal.</w:t>
      </w:r>
    </w:p>
    <w:p>
      <w:pPr>
        <w:pStyle w:val="Heading2"/>
        <w:spacing w:after="100" w:before="220"/>
      </w:pPr>
      <w:r>
        <w:rPr>
          <w:b/>
          <w:bCs/>
        </w:rPr>
        <w:t xml:space="preserve">2. Evaluation Criteria and Scores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400"/>
        <w:gridCol w:w="1400"/>
      </w:tblGrid>
      <w:tr>
        <w:tc>
          <w:tcPr>
            <w:tcW w:type="dxa" w:w="3300"/>
            <w:shd w:fill="1F4E79" w:val="clear"/>
            <w:tcMar>
              <w:top w:type="dxa" w:w="60"/>
              <w:left w:type="dxa" w:w="100"/>
              <w:bottom w:type="dxa" w:w="60"/>
              <w:right w:type="dxa" w:w="100"/>
            </w:tcMar>
          </w:tcPr>
          <w:p>
            <w:r>
              <w:rPr>
                <w:b/>
                <w:bCs/>
                <w:color w:val="FFFFFF"/>
                <w:sz w:val="19"/>
                <w:szCs w:val="19"/>
              </w:rPr>
              <w:t xml:space="preserve">Criteria</w:t>
            </w:r>
          </w:p>
        </w:tc>
        <w:tc>
          <w:tcPr>
            <w:tcW w:type="dxa" w:w="1400"/>
            <w:shd w:fill="1F4E79" w:val="clear"/>
            <w:tcMar>
              <w:top w:type="dxa" w:w="60"/>
              <w:left w:type="dxa" w:w="100"/>
              <w:bottom w:type="dxa" w:w="60"/>
              <w:right w:type="dxa" w:w="100"/>
            </w:tcMar>
          </w:tcPr>
          <w:p>
            <w:r>
              <w:rPr>
                <w:b/>
                <w:bCs/>
                <w:color w:val="FFFFFF"/>
                <w:sz w:val="19"/>
                <w:szCs w:val="19"/>
              </w:rPr>
              <w:t xml:space="preserve">Microsoft</w:t>
            </w:r>
          </w:p>
        </w:tc>
        <w:tc>
          <w:tcPr>
            <w:tcW w:type="dxa" w:w="1400"/>
            <w:shd w:fill="1F4E79" w:val="clear"/>
            <w:tcMar>
              <w:top w:type="dxa" w:w="60"/>
              <w:left w:type="dxa" w:w="100"/>
              <w:bottom w:type="dxa" w:w="60"/>
              <w:right w:type="dxa" w:w="100"/>
            </w:tcMar>
          </w:tcPr>
          <w:p>
            <w:r>
              <w:rPr>
                <w:b/>
                <w:bCs/>
                <w:color w:val="FFFFFF"/>
                <w:sz w:val="19"/>
                <w:szCs w:val="19"/>
              </w:rPr>
              <w:t xml:space="preserve">SAP</w:t>
            </w:r>
          </w:p>
        </w:tc>
        <w:tc>
          <w:tcPr>
            <w:tcW w:type="dxa" w:w="1400"/>
            <w:shd w:fill="1F4E79" w:val="clear"/>
            <w:tcMar>
              <w:top w:type="dxa" w:w="60"/>
              <w:left w:type="dxa" w:w="100"/>
              <w:bottom w:type="dxa" w:w="60"/>
              <w:right w:type="dxa" w:w="100"/>
            </w:tcMar>
          </w:tcPr>
          <w:p>
            <w:r>
              <w:rPr>
                <w:b/>
                <w:bCs/>
                <w:color w:val="FFFFFF"/>
                <w:sz w:val="19"/>
                <w:szCs w:val="19"/>
              </w:rPr>
              <w:t xml:space="preserve">Oracle</w:t>
            </w:r>
          </w:p>
        </w:tc>
      </w:tr>
      <w:tr>
        <w:tc>
          <w:tcPr>
            <w:tcW w:type="dxa" w:w="3300"/>
            <w:tcMar>
              <w:top w:type="dxa" w:w="60"/>
              <w:left w:type="dxa" w:w="100"/>
              <w:bottom w:type="dxa" w:w="60"/>
              <w:right w:type="dxa" w:w="100"/>
            </w:tcMar>
          </w:tcPr>
          <w:p>
            <w:r>
              <w:rPr>
                <w:b w:val="false"/>
                <w:bCs w:val="false"/>
                <w:color w:val="000000"/>
                <w:sz w:val="19"/>
                <w:szCs w:val="19"/>
              </w:rPr>
              <w:t xml:space="preserve">Cost (licensing + implementation)</w:t>
            </w:r>
          </w:p>
        </w:tc>
        <w:tc>
          <w:tcPr>
            <w:tcW w:type="dxa" w:w="1400"/>
            <w:tcMar>
              <w:top w:type="dxa" w:w="60"/>
              <w:left w:type="dxa" w:w="100"/>
              <w:bottom w:type="dxa" w:w="60"/>
              <w:right w:type="dxa" w:w="100"/>
            </w:tcMar>
          </w:tcPr>
          <w:p>
            <w:r>
              <w:rPr>
                <w:b w:val="false"/>
                <w:bCs w:val="false"/>
                <w:color w:val="000000"/>
                <w:sz w:val="19"/>
                <w:szCs w:val="19"/>
              </w:rPr>
              <w:t xml:space="preserve">8</w:t>
            </w:r>
          </w:p>
        </w:tc>
        <w:tc>
          <w:tcPr>
            <w:tcW w:type="dxa" w:w="1400"/>
            <w:tcMar>
              <w:top w:type="dxa" w:w="60"/>
              <w:left w:type="dxa" w:w="100"/>
              <w:bottom w:type="dxa" w:w="60"/>
              <w:right w:type="dxa" w:w="100"/>
            </w:tcMar>
          </w:tcPr>
          <w:p>
            <w:r>
              <w:rPr>
                <w:b w:val="false"/>
                <w:bCs w:val="false"/>
                <w:color w:val="000000"/>
                <w:sz w:val="19"/>
                <w:szCs w:val="19"/>
              </w:rPr>
              <w:t xml:space="preserve">5</w:t>
            </w:r>
          </w:p>
        </w:tc>
        <w:tc>
          <w:tcPr>
            <w:tcW w:type="dxa" w:w="1400"/>
            <w:tcMar>
              <w:top w:type="dxa" w:w="60"/>
              <w:left w:type="dxa" w:w="100"/>
              <w:bottom w:type="dxa" w:w="60"/>
              <w:right w:type="dxa" w:w="100"/>
            </w:tcMar>
          </w:tcPr>
          <w:p>
            <w:r>
              <w:rPr>
                <w:b w:val="false"/>
                <w:bCs w:val="false"/>
                <w:color w:val="000000"/>
                <w:sz w:val="19"/>
                <w:szCs w:val="19"/>
              </w:rPr>
              <w:t xml:space="preserve">6</w:t>
            </w:r>
          </w:p>
        </w:tc>
      </w:tr>
      <w:tr>
        <w:tc>
          <w:tcPr>
            <w:tcW w:type="dxa" w:w="3300"/>
            <w:tcMar>
              <w:top w:type="dxa" w:w="60"/>
              <w:left w:type="dxa" w:w="100"/>
              <w:bottom w:type="dxa" w:w="60"/>
              <w:right w:type="dxa" w:w="100"/>
            </w:tcMar>
          </w:tcPr>
          <w:p>
            <w:r>
              <w:rPr>
                <w:b w:val="false"/>
                <w:bCs w:val="false"/>
                <w:color w:val="000000"/>
                <w:sz w:val="19"/>
                <w:szCs w:val="19"/>
              </w:rPr>
              <w:t xml:space="preserve">Functionality (fit to requirements)</w:t>
            </w:r>
          </w:p>
        </w:tc>
        <w:tc>
          <w:tcPr>
            <w:tcW w:type="dxa" w:w="1400"/>
            <w:tcMar>
              <w:top w:type="dxa" w:w="60"/>
              <w:left w:type="dxa" w:w="100"/>
              <w:bottom w:type="dxa" w:w="60"/>
              <w:right w:type="dxa" w:w="100"/>
            </w:tcMar>
          </w:tcPr>
          <w:p>
            <w:r>
              <w:rPr>
                <w:b w:val="false"/>
                <w:bCs w:val="false"/>
                <w:color w:val="000000"/>
                <w:sz w:val="19"/>
                <w:szCs w:val="19"/>
              </w:rPr>
              <w:t xml:space="preserve">8</w:t>
            </w:r>
          </w:p>
        </w:tc>
        <w:tc>
          <w:tcPr>
            <w:tcW w:type="dxa" w:w="1400"/>
            <w:tcMar>
              <w:top w:type="dxa" w:w="60"/>
              <w:left w:type="dxa" w:w="100"/>
              <w:bottom w:type="dxa" w:w="60"/>
              <w:right w:type="dxa" w:w="100"/>
            </w:tcMar>
          </w:tcPr>
          <w:p>
            <w:r>
              <w:rPr>
                <w:b w:val="false"/>
                <w:bCs w:val="false"/>
                <w:color w:val="000000"/>
                <w:sz w:val="19"/>
                <w:szCs w:val="19"/>
              </w:rPr>
              <w:t xml:space="preserve">9</w:t>
            </w:r>
          </w:p>
        </w:tc>
        <w:tc>
          <w:tcPr>
            <w:tcW w:type="dxa" w:w="1400"/>
            <w:tcMar>
              <w:top w:type="dxa" w:w="60"/>
              <w:left w:type="dxa" w:w="100"/>
              <w:bottom w:type="dxa" w:w="60"/>
              <w:right w:type="dxa" w:w="100"/>
            </w:tcMar>
          </w:tcPr>
          <w:p>
            <w:r>
              <w:rPr>
                <w:b w:val="false"/>
                <w:bCs w:val="false"/>
                <w:color w:val="000000"/>
                <w:sz w:val="19"/>
                <w:szCs w:val="19"/>
              </w:rPr>
              <w:t xml:space="preserve">8</w:t>
            </w:r>
          </w:p>
        </w:tc>
      </w:tr>
      <w:tr>
        <w:tc>
          <w:tcPr>
            <w:tcW w:type="dxa" w:w="3300"/>
            <w:tcMar>
              <w:top w:type="dxa" w:w="60"/>
              <w:left w:type="dxa" w:w="100"/>
              <w:bottom w:type="dxa" w:w="60"/>
              <w:right w:type="dxa" w:w="100"/>
            </w:tcMar>
          </w:tcPr>
          <w:p>
            <w:r>
              <w:rPr>
                <w:b w:val="false"/>
                <w:bCs w:val="false"/>
                <w:color w:val="000000"/>
                <w:sz w:val="19"/>
                <w:szCs w:val="19"/>
              </w:rPr>
              <w:t xml:space="preserve">Support (SLA, response time, account management)</w:t>
            </w:r>
          </w:p>
        </w:tc>
        <w:tc>
          <w:tcPr>
            <w:tcW w:type="dxa" w:w="1400"/>
            <w:tcMar>
              <w:top w:type="dxa" w:w="60"/>
              <w:left w:type="dxa" w:w="100"/>
              <w:bottom w:type="dxa" w:w="60"/>
              <w:right w:type="dxa" w:w="100"/>
            </w:tcMar>
          </w:tcPr>
          <w:p>
            <w:r>
              <w:rPr>
                <w:b w:val="false"/>
                <w:bCs w:val="false"/>
                <w:color w:val="000000"/>
                <w:sz w:val="19"/>
                <w:szCs w:val="19"/>
              </w:rPr>
              <w:t xml:space="preserve">8</w:t>
            </w:r>
          </w:p>
        </w:tc>
        <w:tc>
          <w:tcPr>
            <w:tcW w:type="dxa" w:w="1400"/>
            <w:tcMar>
              <w:top w:type="dxa" w:w="60"/>
              <w:left w:type="dxa" w:w="100"/>
              <w:bottom w:type="dxa" w:w="60"/>
              <w:right w:type="dxa" w:w="100"/>
            </w:tcMar>
          </w:tcPr>
          <w:p>
            <w:r>
              <w:rPr>
                <w:b w:val="false"/>
                <w:bCs w:val="false"/>
                <w:color w:val="000000"/>
                <w:sz w:val="19"/>
                <w:szCs w:val="19"/>
              </w:rPr>
              <w:t xml:space="preserve">7</w:t>
            </w:r>
          </w:p>
        </w:tc>
        <w:tc>
          <w:tcPr>
            <w:tcW w:type="dxa" w:w="1400"/>
            <w:tcMar>
              <w:top w:type="dxa" w:w="60"/>
              <w:left w:type="dxa" w:w="100"/>
              <w:bottom w:type="dxa" w:w="60"/>
              <w:right w:type="dxa" w:w="100"/>
            </w:tcMar>
          </w:tcPr>
          <w:p>
            <w:r>
              <w:rPr>
                <w:b w:val="false"/>
                <w:bCs w:val="false"/>
                <w:color w:val="000000"/>
                <w:sz w:val="19"/>
                <w:szCs w:val="19"/>
              </w:rPr>
              <w:t xml:space="preserve">7</w:t>
            </w:r>
          </w:p>
        </w:tc>
      </w:tr>
      <w:tr>
        <w:tc>
          <w:tcPr>
            <w:tcW w:type="dxa" w:w="3300"/>
            <w:tcMar>
              <w:top w:type="dxa" w:w="60"/>
              <w:left w:type="dxa" w:w="100"/>
              <w:bottom w:type="dxa" w:w="60"/>
              <w:right w:type="dxa" w:w="100"/>
            </w:tcMar>
          </w:tcPr>
          <w:p>
            <w:r>
              <w:rPr>
                <w:b w:val="false"/>
                <w:bCs w:val="false"/>
                <w:color w:val="000000"/>
                <w:sz w:val="19"/>
                <w:szCs w:val="19"/>
              </w:rPr>
              <w:t xml:space="preserve">Scalability (multi-region, future growth)</w:t>
            </w:r>
          </w:p>
        </w:tc>
        <w:tc>
          <w:tcPr>
            <w:tcW w:type="dxa" w:w="1400"/>
            <w:tcMar>
              <w:top w:type="dxa" w:w="60"/>
              <w:left w:type="dxa" w:w="100"/>
              <w:bottom w:type="dxa" w:w="60"/>
              <w:right w:type="dxa" w:w="100"/>
            </w:tcMar>
          </w:tcPr>
          <w:p>
            <w:r>
              <w:rPr>
                <w:b w:val="false"/>
                <w:bCs w:val="false"/>
                <w:color w:val="000000"/>
                <w:sz w:val="19"/>
                <w:szCs w:val="19"/>
              </w:rPr>
              <w:t xml:space="preserve">8</w:t>
            </w:r>
          </w:p>
        </w:tc>
        <w:tc>
          <w:tcPr>
            <w:tcW w:type="dxa" w:w="1400"/>
            <w:tcMar>
              <w:top w:type="dxa" w:w="60"/>
              <w:left w:type="dxa" w:w="100"/>
              <w:bottom w:type="dxa" w:w="60"/>
              <w:right w:type="dxa" w:w="100"/>
            </w:tcMar>
          </w:tcPr>
          <w:p>
            <w:r>
              <w:rPr>
                <w:b w:val="false"/>
                <w:bCs w:val="false"/>
                <w:color w:val="000000"/>
                <w:sz w:val="19"/>
                <w:szCs w:val="19"/>
              </w:rPr>
              <w:t xml:space="preserve">9</w:t>
            </w:r>
          </w:p>
        </w:tc>
        <w:tc>
          <w:tcPr>
            <w:tcW w:type="dxa" w:w="1400"/>
            <w:tcMar>
              <w:top w:type="dxa" w:w="60"/>
              <w:left w:type="dxa" w:w="100"/>
              <w:bottom w:type="dxa" w:w="60"/>
              <w:right w:type="dxa" w:w="100"/>
            </w:tcMar>
          </w:tcPr>
          <w:p>
            <w:r>
              <w:rPr>
                <w:b w:val="false"/>
                <w:bCs w:val="false"/>
                <w:color w:val="000000"/>
                <w:sz w:val="19"/>
                <w:szCs w:val="19"/>
              </w:rPr>
              <w:t xml:space="preserve">8</w:t>
            </w:r>
          </w:p>
        </w:tc>
      </w:tr>
      <w:tr>
        <w:tc>
          <w:tcPr>
            <w:tcW w:type="dxa" w:w="3300"/>
            <w:tcMar>
              <w:top w:type="dxa" w:w="60"/>
              <w:left w:type="dxa" w:w="100"/>
              <w:bottom w:type="dxa" w:w="60"/>
              <w:right w:type="dxa" w:w="100"/>
            </w:tcMar>
          </w:tcPr>
          <w:p>
            <w:r>
              <w:rPr>
                <w:b w:val="false"/>
                <w:bCs w:val="false"/>
                <w:color w:val="000000"/>
                <w:sz w:val="19"/>
                <w:szCs w:val="19"/>
              </w:rPr>
              <w:t xml:space="preserve">Implementation risk (complexity, timeline, resourcing)</w:t>
            </w:r>
          </w:p>
        </w:tc>
        <w:tc>
          <w:tcPr>
            <w:tcW w:type="dxa" w:w="1400"/>
            <w:tcMar>
              <w:top w:type="dxa" w:w="60"/>
              <w:left w:type="dxa" w:w="100"/>
              <w:bottom w:type="dxa" w:w="60"/>
              <w:right w:type="dxa" w:w="100"/>
            </w:tcMar>
          </w:tcPr>
          <w:p>
            <w:r>
              <w:rPr>
                <w:b w:val="false"/>
                <w:bCs w:val="false"/>
                <w:color w:val="000000"/>
                <w:sz w:val="19"/>
                <w:szCs w:val="19"/>
              </w:rPr>
              <w:t xml:space="preserve">8</w:t>
            </w:r>
          </w:p>
        </w:tc>
        <w:tc>
          <w:tcPr>
            <w:tcW w:type="dxa" w:w="1400"/>
            <w:tcMar>
              <w:top w:type="dxa" w:w="60"/>
              <w:left w:type="dxa" w:w="100"/>
              <w:bottom w:type="dxa" w:w="60"/>
              <w:right w:type="dxa" w:w="100"/>
            </w:tcMar>
          </w:tcPr>
          <w:p>
            <w:r>
              <w:rPr>
                <w:b w:val="false"/>
                <w:bCs w:val="false"/>
                <w:color w:val="000000"/>
                <w:sz w:val="19"/>
                <w:szCs w:val="19"/>
              </w:rPr>
              <w:t xml:space="preserve">5</w:t>
            </w:r>
          </w:p>
        </w:tc>
        <w:tc>
          <w:tcPr>
            <w:tcW w:type="dxa" w:w="1400"/>
            <w:tcMar>
              <w:top w:type="dxa" w:w="60"/>
              <w:left w:type="dxa" w:w="100"/>
              <w:bottom w:type="dxa" w:w="60"/>
              <w:right w:type="dxa" w:w="100"/>
            </w:tcMar>
          </w:tcPr>
          <w:p>
            <w:r>
              <w:rPr>
                <w:b w:val="false"/>
                <w:bCs w:val="false"/>
                <w:color w:val="000000"/>
                <w:sz w:val="19"/>
                <w:szCs w:val="19"/>
              </w:rPr>
              <w:t xml:space="preserve">6</w:t>
            </w:r>
          </w:p>
        </w:tc>
      </w:tr>
      <w:tr>
        <w:tc>
          <w:tcPr>
            <w:tcW w:type="dxa" w:w="3300"/>
            <w:tcMar>
              <w:top w:type="dxa" w:w="60"/>
              <w:left w:type="dxa" w:w="100"/>
              <w:bottom w:type="dxa" w:w="60"/>
              <w:right w:type="dxa" w:w="100"/>
            </w:tcMar>
          </w:tcPr>
          <w:p>
            <w:r>
              <w:rPr>
                <w:b w:val="false"/>
                <w:bCs w:val="false"/>
                <w:color w:val="000000"/>
                <w:sz w:val="19"/>
                <w:szCs w:val="19"/>
              </w:rPr>
              <w:t xml:space="preserve">Weighted total (equal weighting)</w:t>
            </w:r>
          </w:p>
        </w:tc>
        <w:tc>
          <w:tcPr>
            <w:tcW w:type="dxa" w:w="1400"/>
            <w:tcMar>
              <w:top w:type="dxa" w:w="60"/>
              <w:left w:type="dxa" w:w="100"/>
              <w:bottom w:type="dxa" w:w="60"/>
              <w:right w:type="dxa" w:w="100"/>
            </w:tcMar>
          </w:tcPr>
          <w:p>
            <w:r>
              <w:rPr>
                <w:b w:val="false"/>
                <w:bCs w:val="false"/>
                <w:color w:val="000000"/>
                <w:sz w:val="19"/>
                <w:szCs w:val="19"/>
              </w:rPr>
              <w:t xml:space="preserve">8.0</w:t>
            </w:r>
          </w:p>
        </w:tc>
        <w:tc>
          <w:tcPr>
            <w:tcW w:type="dxa" w:w="1400"/>
            <w:tcMar>
              <w:top w:type="dxa" w:w="60"/>
              <w:left w:type="dxa" w:w="100"/>
              <w:bottom w:type="dxa" w:w="60"/>
              <w:right w:type="dxa" w:w="100"/>
            </w:tcMar>
          </w:tcPr>
          <w:p>
            <w:r>
              <w:rPr>
                <w:b w:val="false"/>
                <w:bCs w:val="false"/>
                <w:color w:val="000000"/>
                <w:sz w:val="19"/>
                <w:szCs w:val="19"/>
              </w:rPr>
              <w:t xml:space="preserve">7.0</w:t>
            </w:r>
          </w:p>
        </w:tc>
        <w:tc>
          <w:tcPr>
            <w:tcW w:type="dxa" w:w="1400"/>
            <w:tcMar>
              <w:top w:type="dxa" w:w="60"/>
              <w:left w:type="dxa" w:w="100"/>
              <w:bottom w:type="dxa" w:w="60"/>
              <w:right w:type="dxa" w:w="100"/>
            </w:tcMar>
          </w:tcPr>
          <w:p>
            <w:r>
              <w:rPr>
                <w:b w:val="false"/>
                <w:bCs w:val="false"/>
                <w:color w:val="000000"/>
                <w:sz w:val="19"/>
                <w:szCs w:val="19"/>
              </w:rPr>
              <w:t xml:space="preserve">7.0</w:t>
            </w:r>
          </w:p>
        </w:tc>
      </w:tr>
    </w:tbl>
    <w:p>
      <w:pPr>
        <w:pStyle w:val="Heading2"/>
        <w:spacing w:after="100" w:before="220"/>
      </w:pPr>
      <w:r>
        <w:rPr>
          <w:b/>
          <w:bCs/>
        </w:rPr>
        <w:t xml:space="preserve">3. Vendor Summaries</w:t>
      </w:r>
    </w:p>
    <w:p>
      <w:pPr>
        <w:spacing w:after="120"/>
      </w:pPr>
      <w:r>
        <w:rPr>
          <w:sz w:val="21"/>
          <w:szCs w:val="21"/>
        </w:rPr>
        <w:t xml:space="preserve">Microsoft scored highest overall, driven by its native integration with the company’s existing Microsoft 365 environment (Outlook, Teams, SharePoint, OneDrive), which significantly lowers both cost and implementation risk since employees already work daily inside these tools. Reference customers cited faster user adoption as the standout benefit, since training overhead was reduced by the familiar interface.</w:t>
      </w:r>
    </w:p>
    <w:p>
      <w:pPr>
        <w:spacing w:after="120"/>
      </w:pPr>
      <w:r>
        <w:rPr>
          <w:sz w:val="21"/>
          <w:szCs w:val="21"/>
        </w:rPr>
        <w:t xml:space="preserve">SAP scored highest on pure functionality and scalability, reflecting its deep manufacturing and supply-chain feature set, which slightly exceeds Contoso’s current requirements. However, reference customers consistently flagged longer implementation timelines and higher total cost of ownership, driven by the need for specialized consultants and a more complex data-migration process.</w:t>
      </w:r>
    </w:p>
    <w:p>
      <w:pPr>
        <w:spacing w:after="120"/>
      </w:pPr>
      <w:r>
        <w:rPr>
          <w:sz w:val="21"/>
          <w:szCs w:val="21"/>
        </w:rPr>
        <w:t xml:space="preserve">Oracle offered a balanced middle option, with solid functionality and scalability comparable to SAP but a somewhat smoother implementation path. Cost sits between the other two options. Reference customers noted strong financial-module capability but flagged a steeper learning curve for the Supply Chain and Procurement modules compared to Microsoft’s offering.</w:t>
      </w:r>
    </w:p>
    <w:p>
      <w:pPr>
        <w:pStyle w:val="Heading2"/>
        <w:spacing w:after="100" w:before="220"/>
      </w:pPr>
      <w:r>
        <w:rPr>
          <w:b/>
          <w:bCs/>
        </w:rPr>
        <w:t xml:space="preserve">4. Cost Comparison (3-Year Total Cost of Ownership, Estimated)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900"/>
        <w:gridCol w:w="1600"/>
      </w:tblGrid>
      <w:tr>
        <w:tc>
          <w:tcPr>
            <w:tcW w:type="dxa" w:w="1700"/>
            <w:shd w:fill="1F4E79" w:val="clear"/>
            <w:tcMar>
              <w:top w:type="dxa" w:w="60"/>
              <w:left w:type="dxa" w:w="100"/>
              <w:bottom w:type="dxa" w:w="60"/>
              <w:right w:type="dxa" w:w="100"/>
            </w:tcMar>
          </w:tcPr>
          <w:p>
            <w:r>
              <w:rPr>
                <w:b/>
                <w:bCs/>
                <w:color w:val="FFFFFF"/>
                <w:sz w:val="19"/>
                <w:szCs w:val="19"/>
              </w:rPr>
              <w:t xml:space="preserve">Vendor</w:t>
            </w:r>
          </w:p>
        </w:tc>
        <w:tc>
          <w:tcPr>
            <w:tcW w:type="dxa" w:w="1500"/>
            <w:shd w:fill="1F4E79" w:val="clear"/>
            <w:tcMar>
              <w:top w:type="dxa" w:w="60"/>
              <w:left w:type="dxa" w:w="100"/>
              <w:bottom w:type="dxa" w:w="60"/>
              <w:right w:type="dxa" w:w="100"/>
            </w:tcMar>
          </w:tcPr>
          <w:p>
            <w:r>
              <w:rPr>
                <w:b/>
                <w:bCs/>
                <w:color w:val="FFFFFF"/>
                <w:sz w:val="19"/>
                <w:szCs w:val="19"/>
              </w:rPr>
              <w:t xml:space="preserve">Licensing</w:t>
            </w:r>
          </w:p>
        </w:tc>
        <w:tc>
          <w:tcPr>
            <w:tcW w:type="dxa" w:w="1700"/>
            <w:shd w:fill="1F4E79" w:val="clear"/>
            <w:tcMar>
              <w:top w:type="dxa" w:w="60"/>
              <w:left w:type="dxa" w:w="100"/>
              <w:bottom w:type="dxa" w:w="60"/>
              <w:right w:type="dxa" w:w="100"/>
            </w:tcMar>
          </w:tcPr>
          <w:p>
            <w:r>
              <w:rPr>
                <w:b/>
                <w:bCs/>
                <w:color w:val="FFFFFF"/>
                <w:sz w:val="19"/>
                <w:szCs w:val="19"/>
              </w:rPr>
              <w:t xml:space="preserve">Implementation</w:t>
            </w:r>
          </w:p>
        </w:tc>
        <w:tc>
          <w:tcPr>
            <w:tcW w:type="dxa" w:w="1900"/>
            <w:shd w:fill="1F4E79" w:val="clear"/>
            <w:tcMar>
              <w:top w:type="dxa" w:w="60"/>
              <w:left w:type="dxa" w:w="100"/>
              <w:bottom w:type="dxa" w:w="60"/>
              <w:right w:type="dxa" w:w="100"/>
            </w:tcMar>
          </w:tcPr>
          <w:p>
            <w:r>
              <w:rPr>
                <w:b/>
                <w:bCs/>
                <w:color w:val="FFFFFF"/>
                <w:sz w:val="19"/>
                <w:szCs w:val="19"/>
              </w:rPr>
              <w:t xml:space="preserve">Training &amp; Support</w:t>
            </w:r>
          </w:p>
        </w:tc>
        <w:tc>
          <w:tcPr>
            <w:tcW w:type="dxa" w:w="1600"/>
            <w:shd w:fill="1F4E79" w:val="clear"/>
            <w:tcMar>
              <w:top w:type="dxa" w:w="60"/>
              <w:left w:type="dxa" w:w="100"/>
              <w:bottom w:type="dxa" w:w="60"/>
              <w:right w:type="dxa" w:w="100"/>
            </w:tcMar>
          </w:tcPr>
          <w:p>
            <w:r>
              <w:rPr>
                <w:b/>
                <w:bCs/>
                <w:color w:val="FFFFFF"/>
                <w:sz w:val="19"/>
                <w:szCs w:val="19"/>
              </w:rPr>
              <w:t xml:space="preserve">3-Year Total</w:t>
            </w:r>
          </w:p>
        </w:tc>
      </w:tr>
      <w:tr>
        <w:tc>
          <w:tcPr>
            <w:tcW w:type="dxa" w:w="1700"/>
            <w:tcMar>
              <w:top w:type="dxa" w:w="60"/>
              <w:left w:type="dxa" w:w="100"/>
              <w:bottom w:type="dxa" w:w="60"/>
              <w:right w:type="dxa" w:w="100"/>
            </w:tcMar>
          </w:tcPr>
          <w:p>
            <w:r>
              <w:rPr>
                <w:b w:val="false"/>
                <w:bCs w:val="false"/>
                <w:color w:val="000000"/>
                <w:sz w:val="19"/>
                <w:szCs w:val="19"/>
              </w:rPr>
              <w:t xml:space="preserve">Microsoft</w:t>
            </w:r>
          </w:p>
        </w:tc>
        <w:tc>
          <w:tcPr>
            <w:tcW w:type="dxa" w:w="1500"/>
            <w:tcMar>
              <w:top w:type="dxa" w:w="60"/>
              <w:left w:type="dxa" w:w="100"/>
              <w:bottom w:type="dxa" w:w="60"/>
              <w:right w:type="dxa" w:w="100"/>
            </w:tcMar>
          </w:tcPr>
          <w:p>
            <w:r>
              <w:rPr>
                <w:b w:val="false"/>
                <w:bCs w:val="false"/>
                <w:color w:val="000000"/>
                <w:sz w:val="19"/>
                <w:szCs w:val="19"/>
              </w:rPr>
              <w:t xml:space="preserve">$1.2M</w:t>
            </w:r>
          </w:p>
        </w:tc>
        <w:tc>
          <w:tcPr>
            <w:tcW w:type="dxa" w:w="1700"/>
            <w:tcMar>
              <w:top w:type="dxa" w:w="60"/>
              <w:left w:type="dxa" w:w="100"/>
              <w:bottom w:type="dxa" w:w="60"/>
              <w:right w:type="dxa" w:w="100"/>
            </w:tcMar>
          </w:tcPr>
          <w:p>
            <w:r>
              <w:rPr>
                <w:b w:val="false"/>
                <w:bCs w:val="false"/>
                <w:color w:val="000000"/>
                <w:sz w:val="19"/>
                <w:szCs w:val="19"/>
              </w:rPr>
              <w:t xml:space="preserve">$0.9M</w:t>
            </w:r>
          </w:p>
        </w:tc>
        <w:tc>
          <w:tcPr>
            <w:tcW w:type="dxa" w:w="1900"/>
            <w:tcMar>
              <w:top w:type="dxa" w:w="60"/>
              <w:left w:type="dxa" w:w="100"/>
              <w:bottom w:type="dxa" w:w="60"/>
              <w:right w:type="dxa" w:w="100"/>
            </w:tcMar>
          </w:tcPr>
          <w:p>
            <w:r>
              <w:rPr>
                <w:b w:val="false"/>
                <w:bCs w:val="false"/>
                <w:color w:val="000000"/>
                <w:sz w:val="19"/>
                <w:szCs w:val="19"/>
              </w:rPr>
              <w:t xml:space="preserve">$0.4M</w:t>
            </w:r>
          </w:p>
        </w:tc>
        <w:tc>
          <w:tcPr>
            <w:tcW w:type="dxa" w:w="1600"/>
            <w:tcMar>
              <w:top w:type="dxa" w:w="60"/>
              <w:left w:type="dxa" w:w="100"/>
              <w:bottom w:type="dxa" w:w="60"/>
              <w:right w:type="dxa" w:w="100"/>
            </w:tcMar>
          </w:tcPr>
          <w:p>
            <w:r>
              <w:rPr>
                <w:b w:val="false"/>
                <w:bCs w:val="false"/>
                <w:color w:val="000000"/>
                <w:sz w:val="19"/>
                <w:szCs w:val="19"/>
              </w:rPr>
              <w:t xml:space="preserve">$2.5M</w:t>
            </w:r>
          </w:p>
        </w:tc>
      </w:tr>
      <w:tr>
        <w:tc>
          <w:tcPr>
            <w:tcW w:type="dxa" w:w="1700"/>
            <w:tcMar>
              <w:top w:type="dxa" w:w="60"/>
              <w:left w:type="dxa" w:w="100"/>
              <w:bottom w:type="dxa" w:w="60"/>
              <w:right w:type="dxa" w:w="100"/>
            </w:tcMar>
          </w:tcPr>
          <w:p>
            <w:r>
              <w:rPr>
                <w:b w:val="false"/>
                <w:bCs w:val="false"/>
                <w:color w:val="000000"/>
                <w:sz w:val="19"/>
                <w:szCs w:val="19"/>
              </w:rPr>
              <w:t xml:space="preserve">SAP</w:t>
            </w:r>
          </w:p>
        </w:tc>
        <w:tc>
          <w:tcPr>
            <w:tcW w:type="dxa" w:w="1500"/>
            <w:tcMar>
              <w:top w:type="dxa" w:w="60"/>
              <w:left w:type="dxa" w:w="100"/>
              <w:bottom w:type="dxa" w:w="60"/>
              <w:right w:type="dxa" w:w="100"/>
            </w:tcMar>
          </w:tcPr>
          <w:p>
            <w:r>
              <w:rPr>
                <w:b w:val="false"/>
                <w:bCs w:val="false"/>
                <w:color w:val="000000"/>
                <w:sz w:val="19"/>
                <w:szCs w:val="19"/>
              </w:rPr>
              <w:t xml:space="preserve">$1.6M</w:t>
            </w:r>
          </w:p>
        </w:tc>
        <w:tc>
          <w:tcPr>
            <w:tcW w:type="dxa" w:w="1700"/>
            <w:tcMar>
              <w:top w:type="dxa" w:w="60"/>
              <w:left w:type="dxa" w:w="100"/>
              <w:bottom w:type="dxa" w:w="60"/>
              <w:right w:type="dxa" w:w="100"/>
            </w:tcMar>
          </w:tcPr>
          <w:p>
            <w:r>
              <w:rPr>
                <w:b w:val="false"/>
                <w:bCs w:val="false"/>
                <w:color w:val="000000"/>
                <w:sz w:val="19"/>
                <w:szCs w:val="19"/>
              </w:rPr>
              <w:t xml:space="preserve">$1.8M</w:t>
            </w:r>
          </w:p>
        </w:tc>
        <w:tc>
          <w:tcPr>
            <w:tcW w:type="dxa" w:w="1900"/>
            <w:tcMar>
              <w:top w:type="dxa" w:w="60"/>
              <w:left w:type="dxa" w:w="100"/>
              <w:bottom w:type="dxa" w:w="60"/>
              <w:right w:type="dxa" w:w="100"/>
            </w:tcMar>
          </w:tcPr>
          <w:p>
            <w:r>
              <w:rPr>
                <w:b w:val="false"/>
                <w:bCs w:val="false"/>
                <w:color w:val="000000"/>
                <w:sz w:val="19"/>
                <w:szCs w:val="19"/>
              </w:rPr>
              <w:t xml:space="preserve">$0.6M</w:t>
            </w:r>
          </w:p>
        </w:tc>
        <w:tc>
          <w:tcPr>
            <w:tcW w:type="dxa" w:w="1600"/>
            <w:tcMar>
              <w:top w:type="dxa" w:w="60"/>
              <w:left w:type="dxa" w:w="100"/>
              <w:bottom w:type="dxa" w:w="60"/>
              <w:right w:type="dxa" w:w="100"/>
            </w:tcMar>
          </w:tcPr>
          <w:p>
            <w:r>
              <w:rPr>
                <w:b w:val="false"/>
                <w:bCs w:val="false"/>
                <w:color w:val="000000"/>
                <w:sz w:val="19"/>
                <w:szCs w:val="19"/>
              </w:rPr>
              <w:t xml:space="preserve">$4.0M</w:t>
            </w:r>
          </w:p>
        </w:tc>
      </w:tr>
      <w:tr>
        <w:tc>
          <w:tcPr>
            <w:tcW w:type="dxa" w:w="1700"/>
            <w:tcMar>
              <w:top w:type="dxa" w:w="60"/>
              <w:left w:type="dxa" w:w="100"/>
              <w:bottom w:type="dxa" w:w="60"/>
              <w:right w:type="dxa" w:w="100"/>
            </w:tcMar>
          </w:tcPr>
          <w:p>
            <w:r>
              <w:rPr>
                <w:b w:val="false"/>
                <w:bCs w:val="false"/>
                <w:color w:val="000000"/>
                <w:sz w:val="19"/>
                <w:szCs w:val="19"/>
              </w:rPr>
              <w:t xml:space="preserve">Oracle</w:t>
            </w:r>
          </w:p>
        </w:tc>
        <w:tc>
          <w:tcPr>
            <w:tcW w:type="dxa" w:w="1500"/>
            <w:tcMar>
              <w:top w:type="dxa" w:w="60"/>
              <w:left w:type="dxa" w:w="100"/>
              <w:bottom w:type="dxa" w:w="60"/>
              <w:right w:type="dxa" w:w="100"/>
            </w:tcMar>
          </w:tcPr>
          <w:p>
            <w:r>
              <w:rPr>
                <w:b w:val="false"/>
                <w:bCs w:val="false"/>
                <w:color w:val="000000"/>
                <w:sz w:val="19"/>
                <w:szCs w:val="19"/>
              </w:rPr>
              <w:t xml:space="preserve">$1.4M</w:t>
            </w:r>
          </w:p>
        </w:tc>
        <w:tc>
          <w:tcPr>
            <w:tcW w:type="dxa" w:w="1700"/>
            <w:tcMar>
              <w:top w:type="dxa" w:w="60"/>
              <w:left w:type="dxa" w:w="100"/>
              <w:bottom w:type="dxa" w:w="60"/>
              <w:right w:type="dxa" w:w="100"/>
            </w:tcMar>
          </w:tcPr>
          <w:p>
            <w:r>
              <w:rPr>
                <w:b w:val="false"/>
                <w:bCs w:val="false"/>
                <w:color w:val="000000"/>
                <w:sz w:val="19"/>
                <w:szCs w:val="19"/>
              </w:rPr>
              <w:t xml:space="preserve">$1.3M</w:t>
            </w:r>
          </w:p>
        </w:tc>
        <w:tc>
          <w:tcPr>
            <w:tcW w:type="dxa" w:w="1900"/>
            <w:tcMar>
              <w:top w:type="dxa" w:w="60"/>
              <w:left w:type="dxa" w:w="100"/>
              <w:bottom w:type="dxa" w:w="60"/>
              <w:right w:type="dxa" w:w="100"/>
            </w:tcMar>
          </w:tcPr>
          <w:p>
            <w:r>
              <w:rPr>
                <w:b w:val="false"/>
                <w:bCs w:val="false"/>
                <w:color w:val="000000"/>
                <w:sz w:val="19"/>
                <w:szCs w:val="19"/>
              </w:rPr>
              <w:t xml:space="preserve">$0.5M</w:t>
            </w:r>
          </w:p>
        </w:tc>
        <w:tc>
          <w:tcPr>
            <w:tcW w:type="dxa" w:w="1600"/>
            <w:tcMar>
              <w:top w:type="dxa" w:w="60"/>
              <w:left w:type="dxa" w:w="100"/>
              <w:bottom w:type="dxa" w:w="60"/>
              <w:right w:type="dxa" w:w="100"/>
            </w:tcMar>
          </w:tcPr>
          <w:p>
            <w:r>
              <w:rPr>
                <w:b w:val="false"/>
                <w:bCs w:val="false"/>
                <w:color w:val="000000"/>
                <w:sz w:val="19"/>
                <w:szCs w:val="19"/>
              </w:rPr>
              <w:t xml:space="preserve">$3.2M</w:t>
            </w:r>
          </w:p>
        </w:tc>
      </w:tr>
    </w:tbl>
    <w:p>
      <w:pPr>
        <w:pStyle w:val="Heading2"/>
        <w:spacing w:after="100" w:before="220"/>
      </w:pPr>
      <w:r>
        <w:rPr>
          <w:b/>
          <w:bCs/>
        </w:rPr>
        <w:t xml:space="preserve">5. Recommendation</w:t>
      </w:r>
    </w:p>
    <w:p>
      <w:pPr>
        <w:spacing w:after="120"/>
      </w:pPr>
      <w:r>
        <w:rPr>
          <w:sz w:val="21"/>
          <w:szCs w:val="21"/>
        </w:rPr>
        <w:t xml:space="preserve">Based on the weighted scoring and total cost of ownership analysis, the evaluation team recommends Microsoft as the platform for Project Orion. The deciding factors are the significantly lower implementation risk from native Microsoft 365 integration, the lowest three-year total cost of ownership among the three vendors, and reference-customer feedback pointing to faster user adoption. SAP remains a credible alternative if Contoso’s future roadmap requires deeper manufacturing-specific functionality beyond current requirements; Oracle is a reasonable fallback if the Microsoft negotiation does not conclude favorably.</w:t>
      </w:r>
    </w:p>
    <w:p>
      <w:pPr>
        <w:pStyle w:val="Heading2"/>
        <w:spacing w:after="100" w:before="220"/>
      </w:pPr>
      <w:r>
        <w:rPr>
          <w:b/>
          <w:bCs/>
        </w:rPr>
        <w:t xml:space="preserve">6. Reference Customer Feedback</w:t>
      </w:r>
    </w:p>
    <w:p>
      <w:pPr>
        <w:spacing w:after="120"/>
      </w:pPr>
      <w:r>
        <w:rPr>
          <w:sz w:val="21"/>
          <w:szCs w:val="21"/>
        </w:rPr>
        <w:t xml:space="preserve">The evaluation team conducted reference calls with two existing customers per vendor of comparable size to Contoso Electronics. Microsoft’s references both cited the shortest time-to-value, with one noting that their finance team was running month-end close reports within six weeks of go-live because staff were already familiar with the Microsoft 365 interface. SAP’s references praised the depth of manufacturing and supply-chain functionality but both noted that their original implementation timeline slipped by three to four months. Oracle’s references were the most balanced, reporting an on-time go-live but flagging that Supply Chain and Procurement end users needed an extra two weeks of hands-on training beyond what was originally scoped.</w:t>
      </w:r>
    </w:p>
    <w:p>
      <w:pPr>
        <w:pStyle w:val="Heading2"/>
        <w:spacing w:after="100" w:before="220"/>
      </w:pPr>
      <w:r>
        <w:rPr>
          <w:b/>
          <w:bCs/>
        </w:rPr>
        <w:t xml:space="preserve">7. Next Steps</w:t>
      </w:r>
    </w:p>
    <w:p>
      <w:pPr>
        <w:spacing w:after="120"/>
      </w:pPr>
      <w:r>
        <w:rPr>
          <w:sz w:val="21"/>
          <w:szCs w:val="21"/>
        </w:rPr>
        <w:t xml:space="preserve">Procurement will begin final commercial negotiations with Microsoft while keeping SAP and Oracle informed that a decision is pending, consistent with standard vendor-relationship practice. A final contract is targeted for signature within four weeks, subject to Executive Steering Committee approval of the negotiated terms and confirmation from Legal that the data-processing and security terms meet the requirements set out in the company’s Information Security Policy.</w:t>
      </w:r>
    </w:p>
    <w:p>
      <w:pPr>
        <w:spacing w:after="120"/>
      </w:pPr>
      <w:r>
        <w:rPr>
          <w:sz w:val="21"/>
          <w:szCs w:val="21"/>
        </w:rPr>
        <w:t xml:space="preserve">This report was reviewed by the Technical Architect and Procurement Lead and is provided to the Executive Steering Committee to inform the final vendor decision.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2026-07-13T09:40:35.829Z</dcterms:created>
  <dcterms:modified xsi:type="dcterms:W3CDTF">2026-07-13T09:40:35.829Z</dcterms:modified>
</cp:coreProperties>
</file>

<file path=docProps/custom.xml><?xml version="1.0" encoding="utf-8"?>
<Properties xmlns="http://schemas.openxmlformats.org/officeDocument/2006/custom-properties" xmlns:vt="http://schemas.openxmlformats.org/officeDocument/2006/docPropsVTypes"/>
</file>