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3D91"/>
          <w:sz w:val="60"/>
        </w:rPr>
        <w:t>UpDesk</w:t>
      </w:r>
    </w:p>
    <w:p>
      <w:pPr>
        <w:jc w:val="center"/>
      </w:pPr>
      <w:r>
        <w:rPr>
          <w:color w:val="555555"/>
          <w:sz w:val="30"/>
        </w:rPr>
        <w:t>Technical Architecture &amp; Security Explanation</w:t>
      </w:r>
    </w:p>
    <w:p>
      <w:pPr>
        <w:jc w:val="center"/>
      </w:pPr>
      <w:r>
        <w:rPr>
          <w:i/>
          <w:sz w:val="22"/>
        </w:rPr>
        <w:t>A secure remote-desktop and mobile-forensics platform</w:t>
        <w:br/>
        <w:t>Built for authorized law-enforcement forensic examination of devices in lawful custody</w:t>
      </w:r>
    </w:p>
    <w:p/>
    <w:p>
      <w:pPr>
        <w:pStyle w:val="Heading1"/>
      </w:pPr>
      <w:r>
        <w:rPr>
          <w:color w:val="0B3D91"/>
        </w:rPr>
        <w:t>1. Executive Summary</w:t>
      </w:r>
    </w:p>
    <w:p>
      <w:r>
        <w:t>UpDesk is a remote-desktop and remote-control platform in the same family as TeamViewer, AnyDesk, and RustDesk, but written entirely from scratch. It lets an examiner’s workstation (the controller) view and operate another machine (the host) — a Windows PC, or an Android phone — over the internet. It was designed for a police cyber-forensics laboratory to examine and extract evidence from devices the unit lawfully holds in custody.</w:t>
      </w:r>
    </w:p>
    <w:p>
      <w:r>
        <w:t>The central design principle is: a cloud server only introduces two machines to each other; it never sees the screen, keystrokes, or files that pass between them. Everything the examiner actually sees and does travels over a direct, end-to-end-encrypted channel between the two devices.</w:t>
      </w:r>
    </w:p>
    <w:p>
      <w:pPr>
        <w:pStyle w:val="Heading1"/>
      </w:pPr>
      <w:r>
        <w:rPr>
          <w:color w:val="0B3D91"/>
        </w:rPr>
        <w:t>2. The Building Blocks</w:t>
      </w:r>
    </w:p>
    <w:p>
      <w:r>
        <w:t>The system has four components. A useful analogy is a telephone system: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Component</w:t>
            </w:r>
          </w:p>
        </w:tc>
        <w:tc>
          <w:tcPr>
            <w:tcW w:type="dxa" w:w="2880"/>
          </w:tcPr>
          <w:p>
            <w:r/>
            <w:r>
              <w:rPr>
                <w:b/>
              </w:rPr>
              <w:t>Role (phone analogy)</w:t>
            </w:r>
          </w:p>
        </w:tc>
        <w:tc>
          <w:tcPr>
            <w:tcW w:type="dxa" w:w="2880"/>
          </w:tcPr>
          <w:p>
            <w:r/>
            <w:r>
              <w:rPr>
                <w:b/>
              </w:rPr>
              <w:t>What it is</w:t>
            </w:r>
          </w:p>
        </w:tc>
      </w:tr>
      <w:tr>
        <w:tc>
          <w:tcPr>
            <w:tcW w:type="dxa" w:w="2880"/>
          </w:tcPr>
          <w:p>
            <w:r>
              <w:t>Signaling server</w:t>
            </w:r>
          </w:p>
        </w:tc>
        <w:tc>
          <w:tcPr>
            <w:tcW w:type="dxa" w:w="2880"/>
          </w:tcPr>
          <w:p>
            <w:r>
              <w:t>The switchboard</w:t>
            </w:r>
          </w:p>
        </w:tc>
        <w:tc>
          <w:tcPr>
            <w:tcW w:type="dxa" w:w="2880"/>
          </w:tcPr>
          <w:p>
            <w:r>
              <w:t>A small Rust service in the cloud (AWS). Every host and controller connects to it. Its only job is to authenticate machines and introduce a controller to the host it wants to reach, then step out of the media path.</w:t>
            </w:r>
          </w:p>
        </w:tc>
      </w:tr>
      <w:tr>
        <w:tc>
          <w:tcPr>
            <w:tcW w:type="dxa" w:w="2880"/>
          </w:tcPr>
          <w:p>
            <w:r>
              <w:t>Host</w:t>
            </w:r>
          </w:p>
        </w:tc>
        <w:tc>
          <w:tcPr>
            <w:tcW w:type="dxa" w:w="2880"/>
          </w:tcPr>
          <w:p>
            <w:r>
              <w:t>The phone being called</w:t>
            </w:r>
          </w:p>
        </w:tc>
        <w:tc>
          <w:tcPr>
            <w:tcW w:type="dxa" w:w="2880"/>
          </w:tcPr>
          <w:p>
            <w:r>
              <w:t>The machine being viewed/controlled. Three forms exist: a windowed desktop app, a silent native host (native-host.exe, no window), and an Android host.</w:t>
            </w:r>
          </w:p>
        </w:tc>
      </w:tr>
      <w:tr>
        <w:tc>
          <w:tcPr>
            <w:tcW w:type="dxa" w:w="2880"/>
          </w:tcPr>
          <w:p>
            <w:r>
              <w:t>Controller</w:t>
            </w:r>
          </w:p>
        </w:tc>
        <w:tc>
          <w:tcPr>
            <w:tcW w:type="dxa" w:w="2880"/>
          </w:tcPr>
          <w:p>
            <w:r>
              <w:t>The phone making the call</w:t>
            </w:r>
          </w:p>
        </w:tc>
        <w:tc>
          <w:tcPr>
            <w:tcW w:type="dxa" w:w="2880"/>
          </w:tcPr>
          <w:p>
            <w:r>
              <w:t>The examiner’s machine that watches and controls. A desktop app and an Android version.</w:t>
            </w:r>
          </w:p>
        </w:tc>
      </w:tr>
      <w:tr>
        <w:tc>
          <w:tcPr>
            <w:tcW w:type="dxa" w:w="2880"/>
          </w:tcPr>
          <w:p>
            <w:r>
              <w:t>TURN relay</w:t>
            </w:r>
          </w:p>
        </w:tc>
        <w:tc>
          <w:tcPr>
            <w:tcW w:type="dxa" w:w="2880"/>
          </w:tcPr>
          <w:p>
            <w:r>
              <w:t>An operator patching a call through</w:t>
            </w:r>
          </w:p>
        </w:tc>
        <w:tc>
          <w:tcPr>
            <w:tcW w:type="dxa" w:w="2880"/>
          </w:tcPr>
          <w:p>
            <w:r>
              <w:t>A coturn server (same AWS box), used when the two machines cannot connect directly (e.g. a phone on mobile data behind carrier NAT). It relays encrypted packets blindly; it cannot read them.</w:t>
            </w:r>
          </w:p>
        </w:tc>
      </w:tr>
    </w:tbl>
    <w:p>
      <w:pPr>
        <w:pStyle w:val="Heading1"/>
      </w:pPr>
      <w:r>
        <w:rPr>
          <w:color w:val="0B3D91"/>
        </w:rPr>
        <w:t>3. The Technology Stack (and Why)</w:t>
      </w:r>
    </w:p>
    <w:p>
      <w:pPr>
        <w:pStyle w:val="ListBullet"/>
      </w:pPr>
      <w:r>
        <w:t>Rust for the server, native host, and core logic — a deliberate security choice. Rust is memory-safe, eliminating an entire category of exploitable bugs (buffer overflows, use-after-free) that plague C/C++. That matters for software that takes untrusted network input at high privilege.</w:t>
      </w:r>
    </w:p>
    <w:p>
      <w:pPr>
        <w:pStyle w:val="ListBullet"/>
      </w:pPr>
      <w:r>
        <w:t>WebRTC for all real-time media and data — the same encrypted transport browsers, Google Meet, and Zoom use. It provides NAT traversal and mandatory encryption out of the box.</w:t>
      </w:r>
    </w:p>
    <w:p>
      <w:pPr>
        <w:pStyle w:val="ListBullet"/>
      </w:pPr>
      <w:r>
        <w:t>Tauri (Rust + web-view) for the desktop apps; Kotlin for the Android apps.</w:t>
      </w:r>
    </w:p>
    <w:p>
      <w:pPr>
        <w:pStyle w:val="ListBullet"/>
      </w:pPr>
      <w:r>
        <w:t>AWS EC2 + Caddy + coturn for the cloud deployment.</w:t>
      </w:r>
    </w:p>
    <w:p>
      <w:pPr>
        <w:pStyle w:val="Heading1"/>
      </w:pPr>
      <w:r>
        <w:rPr>
          <w:color w:val="0B3D91"/>
        </w:rPr>
        <w:t>4. How a Session Is Established (Step by Step)</w:t>
      </w:r>
    </w:p>
    <w:p>
      <w:pPr>
        <w:pStyle w:val="ListNumber"/>
      </w:pPr>
      <w:r>
        <w:t>Identity creation. On first run a host generates a cryptographic keypair and stores it locally (native host: native-host-identity.txt). This identity is permanent for that machine.</w:t>
      </w:r>
    </w:p>
    <w:p>
      <w:pPr>
        <w:pStyle w:val="ListNumber"/>
      </w:pPr>
      <w:r>
        <w:t>Registration. The host opens an encrypted connection outward to the signaling server, proves its identity (see §6), and receives a 9-digit Connect ID derived from its identity.</w:t>
      </w:r>
    </w:p>
    <w:p>
      <w:pPr>
        <w:pStyle w:val="ListNumber"/>
      </w:pPr>
      <w:r>
        <w:t>Dialing. On the controller, the examiner enters the host’s 9-digit ID and a password/PIN. The server looks up the online host and forwards the request.</w:t>
      </w:r>
    </w:p>
    <w:p>
      <w:pPr>
        <w:pStyle w:val="ListNumber"/>
      </w:pPr>
      <w:r>
        <w:t>Consent / auto-accept. In attended mode the host shows a consent prompt; in unattended (custody) mode it validates the password and accepts automatically.</w:t>
      </w:r>
    </w:p>
    <w:p>
      <w:pPr>
        <w:pStyle w:val="ListNumber"/>
      </w:pPr>
      <w:r>
        <w:t>Peer-to-peer negotiation. The two machines exchange connection details (offer/answer plus network candidates) through the server, then form a direct encrypted WebRTC connection to each other.</w:t>
      </w:r>
    </w:p>
    <w:p>
      <w:pPr>
        <w:pStyle w:val="ListNumber"/>
      </w:pPr>
      <w:r>
        <w:t>Live session. Screen video, input, clipboard, chat, and files flow directly between host and controller, encrypted. The server is no longer involved in the content.</w:t>
      </w:r>
    </w:p>
    <w:p>
      <w:pPr>
        <w:pStyle w:val="Heading1"/>
      </w:pPr>
      <w:r>
        <w:rPr>
          <w:color w:val="0B3D91"/>
        </w:rPr>
        <w:t>5. SSL / TLS Certificates — How the Secure Channel Works</w:t>
      </w:r>
    </w:p>
    <w:p>
      <w:r>
        <w:t>This is the layer most people mean by “is it secure?”. UpDesk uses two independent encrypted channels, and it is important to understand both.</w:t>
      </w:r>
    </w:p>
    <w:p>
      <w:pPr>
        <w:pStyle w:val="Heading2"/>
      </w:pPr>
      <w:r>
        <w:rPr>
          <w:color w:val="0B3D91"/>
        </w:rPr>
        <w:t>5.1 What TLS/SSL is</w:t>
      </w:r>
    </w:p>
    <w:p>
      <w:r>
        <w:t>TLS (Transport Layer Security — the modern name for SSL) is the technology behind the padlock in a browser. It encrypts the connection so no one in between can read it, and it lets the client verify the server’s identity using a digital certificate: a file stating “this public key belongs to this domain”, signed by a trusted Certificate Authority (CA).</w:t>
      </w:r>
    </w:p>
    <w:p>
      <w:pPr>
        <w:pStyle w:val="Heading2"/>
      </w:pPr>
      <w:r>
        <w:rPr>
          <w:color w:val="0B3D91"/>
        </w:rPr>
        <w:t>5.2 Channel A — Signaling over wss:// (TLS)</w:t>
      </w:r>
    </w:p>
    <w:p>
      <w:r>
        <w:t>The connection from each app to the signaling server is a secure WebSocket (wss://) — a WebSocket inside TLS, exactly like https:// but for a live two-way message stream. The address is wss://updesk.duckdns.org. This encrypts the login handshake and the “introduce me to host X” messages.</w:t>
      </w:r>
    </w:p>
    <w:p>
      <w:pPr>
        <w:pStyle w:val="Heading2"/>
      </w:pPr>
      <w:r>
        <w:rPr>
          <w:color w:val="0B3D91"/>
        </w:rPr>
        <w:t>5.3 The certificate chain: CA + leaf</w:t>
      </w:r>
    </w:p>
    <w:p>
      <w:r>
        <w:t>A correct TLS setup never uses a single self-signed certificate; it uses a chain:</w:t>
      </w:r>
    </w:p>
    <w:p>
      <w:pPr>
        <w:pStyle w:val="ListBullet"/>
      </w:pPr>
      <w:r>
        <w:t>A root CA certificate (marked as a certificate authority) that signs other certificates.</w:t>
      </w:r>
    </w:p>
    <w:p>
      <w:pPr>
        <w:pStyle w:val="ListBullet"/>
      </w:pPr>
      <w:r>
        <w:t>A leaf certificate for the actual server — not a CA — carrying the server’s domain/IP in its Subject Alternative Name, signed by the root CA.</w:t>
      </w:r>
    </w:p>
    <w:p>
      <w:r>
        <w:t>The server presents the leaf plus the CA; the client trusts the leaf because it chains up to a CA it recognizes. We learned this the hard way: Chromium-based web views reject a self-signed certificate that is also its own CA, and are strict about certificates for a bare IP — a proper root-CA-plus-leaf chain is mandatory.</w:t>
      </w:r>
    </w:p>
    <w:p>
      <w:pPr>
        <w:pStyle w:val="Heading2"/>
      </w:pPr>
      <w:r>
        <w:rPr>
          <w:color w:val="0B3D91"/>
        </w:rPr>
        <w:t>5.4 Production certificates — Caddy + Let’s Encrypt</w:t>
      </w:r>
    </w:p>
    <w:p>
      <w:r>
        <w:t>In the live cloud deployment a reverse proxy called Caddy sits in front of the signaling server. Caddy automatically obtains and renews a real, publicly trusted certificate from Let’s Encrypt for updesk.duckdns.org. Because it is issued by a public CA every operating system already trusts, the apps validate it normally, with no special configuration. Caddy terminates TLS on port 443 and forwards plain traffic to the signaling server behind it.</w:t>
      </w:r>
    </w:p>
    <w:p>
      <w:pPr>
        <w:pStyle w:val="Heading2"/>
      </w:pPr>
      <w:r>
        <w:rPr>
          <w:color w:val="0B3D91"/>
        </w:rPr>
        <w:t>5.5 Development certificates — a private CA and certificate pinning</w:t>
      </w:r>
    </w:p>
    <w:p>
      <w:r>
        <w:t>For local/LAN testing (no public domain) the project uses its own private CA to sign a leaf certificate, and the apps pin that CA. Certificate pinning means the app accepts only a certificate that chains to one specific key — identified by its SPKI hash (a SHA-256 fingerprint of the public key). This is stronger than trusting all certificates: even on a bare IP, only our certificate is accepted, defeating man-in-the-middle interception. In production with the real Let’s Encrypt certificate, pinning is unnecessary and is effectively bypassed because the certificate validates through the normal public trust chain.</w:t>
      </w:r>
    </w:p>
    <w:p>
      <w:pPr>
        <w:pStyle w:val="Heading2"/>
      </w:pPr>
      <w:r>
        <w:rPr>
          <w:color w:val="0B3D91"/>
        </w:rPr>
        <w:t>5.6 Channel B — the media, encrypted with DTLS-SRTP</w:t>
      </w:r>
    </w:p>
    <w:p>
      <w:r>
        <w:t>The direct host-to-controller connection (screen, input, files) is separately encrypted by WebRTC using DTLS-SRTP. DTLS is TLS adapted for packet traffic like video. The two peers perform their own key exchange with each other, so the media is end-to-end encrypted. This is the crucial property:</w:t>
      </w:r>
    </w:p>
    <w:tbl>
      <w:tblPr>
        <w:tblW w:type="auto" w:w="0"/>
        <w:jc w:val="center"/>
        <w:tblLook w:firstColumn="1" w:firstRow="1" w:lastColumn="0" w:lastRow="0" w:noHBand="0" w:noVBand="1" w:val="04A0"/>
      </w:tblPr>
      <w:tblGrid>
        <w:gridCol w:w="8640"/>
      </w:tblGrid>
      <w:tr>
        <w:tc>
          <w:tcPr>
            <w:tcW w:type="dxa" w:w="8640"/>
            <w:shd w:val="clear" w:fill="FFF8E1"/>
          </w:tcPr>
          <w:p>
            <w:r>
              <w:rPr>
                <w:b/>
                <w:sz w:val="21"/>
              </w:rPr>
              <w:t xml:space="preserve">The signaling server and the TURN relay never hold the media keys. </w:t>
            </w:r>
            <w:r>
              <w:rPr>
                <w:b w:val="0"/>
                <w:sz w:val="21"/>
              </w:rPr>
              <w:t>Even if the cloud server were fully compromised, an attacker could not watch a session or read the files, because the video and data are encrypted directly between the two endpoint devices.</w:t>
            </w:r>
          </w:p>
        </w:tc>
      </w:tr>
    </w:tbl>
    <w:p>
      <w:pPr>
        <w:pStyle w:val="Heading1"/>
      </w:pPr>
      <w:r>
        <w:rPr>
          <w:color w:val="0B3D91"/>
        </w:rPr>
        <w:t>6. The Cryptographic Identity System</w:t>
      </w:r>
    </w:p>
    <w:p>
      <w:pPr>
        <w:pStyle w:val="Heading2"/>
      </w:pPr>
      <w:r>
        <w:rPr>
          <w:color w:val="0B3D91"/>
        </w:rPr>
        <w:t>6.1 Ed25519 keypairs</w:t>
      </w:r>
    </w:p>
    <w:p>
      <w:r>
        <w:t>Every machine owns an Ed25519 public/private keypair (a modern, fast elliptic-curve signature scheme). The private key never leaves the device. The public key is what the server knows the machine by, sent on the wire in a standard encoded form (SPKI DER, base64).</w:t>
      </w:r>
    </w:p>
    <w:p>
      <w:pPr>
        <w:pStyle w:val="Heading2"/>
      </w:pPr>
      <w:r>
        <w:rPr>
          <w:color w:val="0B3D91"/>
        </w:rPr>
        <w:t>6.2 Challenge-response authentication</w:t>
      </w:r>
    </w:p>
    <w:p>
      <w:r>
        <w:t>Passwords alone can be stolen and replayed. Instead UpDesk proves identity cryptographically:</w:t>
      </w:r>
    </w:p>
    <w:p>
      <w:pPr>
        <w:pStyle w:val="ListNumber"/>
      </w:pPr>
      <w:r>
        <w:t>The device connects and sends its public key.</w:t>
      </w:r>
    </w:p>
    <w:p>
      <w:pPr>
        <w:pStyle w:val="ListNumber"/>
      </w:pPr>
      <w:r>
        <w:t>The server replies with a random challenge (a nonce).</w:t>
      </w:r>
    </w:p>
    <w:p>
      <w:pPr>
        <w:pStyle w:val="ListNumber"/>
      </w:pPr>
      <w:r>
        <w:t>The device signs the nonce with its private key and returns the signature.</w:t>
      </w:r>
    </w:p>
    <w:p>
      <w:pPr>
        <w:pStyle w:val="ListNumber"/>
      </w:pPr>
      <w:r>
        <w:t>The server verifies the signature against the public key.</w:t>
      </w:r>
    </w:p>
    <w:p>
      <w:r>
        <w:t>An impostor without the private key cannot produce a valid signature, and because the challenge is random every time, a captured old response is useless (no replay). On first enrollment the identity is bound to its key (Trust On First Use), so no one can later hijack an existing ID.</w:t>
      </w:r>
    </w:p>
    <w:p>
      <w:pPr>
        <w:pStyle w:val="Heading2"/>
      </w:pPr>
      <w:r>
        <w:rPr>
          <w:color w:val="0B3D91"/>
        </w:rPr>
        <w:t>6.3 The 9-digit Connect ID</w:t>
      </w:r>
    </w:p>
    <w:p>
      <w:r>
        <w:t>The friendly 9-digit number the examiner dials is derived deterministically from the machine’s identity using a hash (FNV-1a, reduced to nine digits). Because it is computed from the permanent identity, the same machine always shows the same ID. The server, the native host, and the admin tool all compute it identically, so they agree without extra coordination.</w:t>
      </w:r>
    </w:p>
    <w:p>
      <w:pPr>
        <w:pStyle w:val="Heading1"/>
      </w:pPr>
      <w:r>
        <w:rPr>
          <w:color w:val="0B3D91"/>
        </w:rPr>
        <w:t>7. The Silent Native Host — How It Runs Without User Interaction</w:t>
      </w:r>
    </w:p>
    <w:p>
      <w:r>
        <w:t>The silent native host (native-host.exe) is a single self-contained Rust program (~14 MB) that shares the screen and accepts control without opening a window, showing a screen-picker, or requiring a click. This section explains how that is achieved — and what it does not do.</w:t>
      </w:r>
    </w:p>
    <w:p>
      <w:pPr>
        <w:pStyle w:val="Heading2"/>
      </w:pPr>
      <w:r>
        <w:rPr>
          <w:color w:val="0B3D91"/>
        </w:rPr>
        <w:t>7.1 What “silent” actually means</w:t>
      </w:r>
    </w:p>
    <w:tbl>
      <w:tblPr>
        <w:tblW w:type="auto" w:w="0"/>
        <w:jc w:val="center"/>
        <w:tblLook w:firstColumn="1" w:firstRow="1" w:lastColumn="0" w:lastRow="0" w:noHBand="0" w:noVBand="1" w:val="04A0"/>
      </w:tblPr>
      <w:tblGrid>
        <w:gridCol w:w="8640"/>
      </w:tblGrid>
      <w:tr>
        <w:tc>
          <w:tcPr>
            <w:tcW w:type="dxa" w:w="8640"/>
            <w:shd w:val="clear" w:fill="FFF8E1"/>
          </w:tcPr>
          <w:p>
            <w:r>
              <w:rPr>
                <w:b/>
                <w:sz w:val="21"/>
              </w:rPr>
              <w:t xml:space="preserve">“Silent” means “no user-interface gesture is required to start sharing” — not “security is bypassed.” </w:t>
            </w:r>
            <w:r>
              <w:rPr>
                <w:b w:val="0"/>
                <w:sz w:val="21"/>
              </w:rPr>
              <w:t>The same cryptographic authentication (§6) and the same end-to-end encryption (§5.6) apply to a silent session exactly as to an attended one. Nothing about the encryption, identity, or access control is weakened. What is removed is only the on-screen consent step — appropriate only on a device the operator lawfully possesses and controls (a custody/lab device), where there is no second person whose consent is required.</w:t>
            </w:r>
          </w:p>
        </w:tc>
      </w:tr>
    </w:tbl>
    <w:p>
      <w:pPr>
        <w:pStyle w:val="Heading2"/>
      </w:pPr>
      <w:r>
        <w:rPr>
          <w:color w:val="0B3D91"/>
        </w:rPr>
        <w:t>7.2 Native screen capture</w:t>
      </w:r>
    </w:p>
    <w:p>
      <w:r>
        <w:t>An ordinary browser-based host must call getDisplayMedia, which forces the OS to pop a “choose what to share” picker — a deliberate gesture. The native host instead uses the Windows Desktop Duplication API (via the scrap library) to read the screen framebuffer directly. This is a documented, legitimate OS capability used by every screen recorder and remote-desktop product; it needs no picker, which is why there is no prompt.</w:t>
      </w:r>
    </w:p>
    <w:p>
      <w:pPr>
        <w:pStyle w:val="Heading2"/>
      </w:pPr>
      <w:r>
        <w:rPr>
          <w:color w:val="0B3D91"/>
        </w:rPr>
        <w:t>7.3 Encoding and transport</w:t>
      </w:r>
    </w:p>
    <w:p>
      <w:r>
        <w:t>Captured frames are converted to H.264 (via openh264), compressing the screen roughly a thousandfold, then fed into a native WebRTC peer connection (the webrtc Rust crate) and streamed to the controller. A capture-encode thread hands frames to the WebRTC thread through a channel. To keep a static screen from appearing black, the host periodically re-sends the last frame as a keyframe.</w:t>
      </w:r>
    </w:p>
    <w:p>
      <w:pPr>
        <w:pStyle w:val="Heading2"/>
      </w:pPr>
      <w:r>
        <w:rPr>
          <w:color w:val="0B3D91"/>
        </w:rPr>
        <w:t>7.4 Input injection</w:t>
      </w:r>
    </w:p>
    <w:p>
      <w:r>
        <w:t>Mouse and keyboard events from the controller are replayed into Windows using the SendInput API (via the enigo library) on a dedicated thread — the standard, documented mechanism for synthetic input.</w:t>
      </w:r>
    </w:p>
    <w:p>
      <w:pPr>
        <w:pStyle w:val="Heading2"/>
      </w:pPr>
      <w:r>
        <w:rPr>
          <w:color w:val="0B3D91"/>
        </w:rPr>
        <w:t>7.5 Running unattended and from boot</w:t>
      </w:r>
    </w:p>
    <w:p>
      <w:r>
        <w:t>Two optional capabilities let it work without an operator present on the host machine:</w:t>
      </w:r>
    </w:p>
    <w:p>
      <w:pPr>
        <w:pStyle w:val="ListBullet"/>
      </w:pPr>
      <w:r>
        <w:t>Auto-accept: if an incoming request presents the correct password, the host accepts automatically instead of prompting.</w:t>
      </w:r>
    </w:p>
    <w:p>
      <w:pPr>
        <w:pStyle w:val="ListBullet"/>
      </w:pPr>
      <w:r>
        <w:t>Windows service mode: the host can install itself as a system service that starts at boot and launches into the active desktop session (using the documented WTSQueryUserToken / CreateProcessAsUserW APIs), giving presence that survives reboots.</w:t>
      </w:r>
    </w:p>
    <w:tbl>
      <w:tblPr>
        <w:tblW w:type="auto" w:w="0"/>
        <w:jc w:val="center"/>
        <w:tblLook w:firstColumn="1" w:firstRow="1" w:lastColumn="0" w:lastRow="0" w:noHBand="0" w:noVBand="1" w:val="04A0"/>
      </w:tblPr>
      <w:tblGrid>
        <w:gridCol w:w="8640"/>
      </w:tblGrid>
      <w:tr>
        <w:tc>
          <w:tcPr>
            <w:tcW w:type="dxa" w:w="8640"/>
            <w:shd w:val="clear" w:fill="FDECEA"/>
          </w:tcPr>
          <w:p>
            <w:r>
              <w:rPr>
                <w:b/>
                <w:sz w:val="21"/>
              </w:rPr>
              <w:t xml:space="preserve">Why antivirus flags this, and the honest resolution. </w:t>
            </w:r>
            <w:r>
              <w:rPr>
                <w:b w:val="0"/>
                <w:sz w:val="21"/>
              </w:rPr>
              <w:t>The combination of “runs silently, captures the screen, injects input, starts at boot” is behaviourally identical to a Remote Access Trojan, so Windows Defender and other scanners flag or block native-host.exe. This is the scanner working correctly — it cannot read intent, only behaviour. The legitimate resolution is to make the tool trusted and transparent: code-sign the executable with an organizational certificate, allow-list it on lab machines you own, and keep a visible indicator and consent record. The wrong way — obfuscation, packers, or disabling antivirus to hide the tool — would turn a defensible forensic instrument into actual malware, and is explicitly not part of this project.</w:t>
            </w:r>
          </w:p>
        </w:tc>
      </w:tr>
    </w:tbl>
    <w:p>
      <w:pPr>
        <w:pStyle w:val="Heading2"/>
      </w:pPr>
      <w:r>
        <w:rPr>
          <w:color w:val="0B3D91"/>
        </w:rPr>
        <w:t>7.6 A notable engineering detail: the DTLS curve fix</w:t>
      </w:r>
    </w:p>
    <w:p>
      <w:r>
        <w:t>Modern Chromium/WebView2 offers a post-quantum hybrid elliptic curve first during the DTLS handshake. The Rust WebRTC DTLS library did not recognize it and failed the handshake (“invalid named curve”), which would have broken every browser-to-native connection. The fix was to patch the DTLS library to select the first mutually supported curve instead of blindly taking the client’s first choice — a genuine, non-obvious interoperability fix affecting any Rust-WebRTC-to-browser connection.</w:t>
      </w:r>
    </w:p>
    <w:p>
      <w:pPr>
        <w:pStyle w:val="Heading1"/>
      </w:pPr>
      <w:r>
        <w:rPr>
          <w:color w:val="0B3D91"/>
        </w:rPr>
        <w:t>8. Security Posture — Strengths and Honest Limitations</w:t>
      </w:r>
    </w:p>
    <w:p>
      <w:pPr>
        <w:pStyle w:val="Heading2"/>
      </w:pPr>
      <w:r>
        <w:rPr>
          <w:color w:val="0B3D91"/>
        </w:rPr>
        <w:t>8.1 Strengths</w:t>
      </w:r>
    </w:p>
    <w:p>
      <w:pPr>
        <w:pStyle w:val="ListBullet"/>
      </w:pPr>
      <w:r>
        <w:t>End-to-end encryption of all media and data (DTLS-SRTP); the server cannot see session content.</w:t>
      </w:r>
    </w:p>
    <w:p>
      <w:pPr>
        <w:pStyle w:val="ListBullet"/>
      </w:pPr>
      <w:r>
        <w:t>Cryptographic, replay-resistant identity and authentication (Ed25519 challenge-response, TOFU binding).</w:t>
      </w:r>
    </w:p>
    <w:p>
      <w:pPr>
        <w:pStyle w:val="ListBullet"/>
      </w:pPr>
      <w:r>
        <w:t>TLS everywhere for signaling — a real public certificate in production, pinning in development.</w:t>
      </w:r>
    </w:p>
    <w:p>
      <w:pPr>
        <w:pStyle w:val="ListBullet"/>
      </w:pPr>
      <w:r>
        <w:t>Memory-safe implementation language (Rust) across the privileged, network-facing code.</w:t>
      </w:r>
    </w:p>
    <w:p>
      <w:pPr>
        <w:pStyle w:val="ListBullet"/>
      </w:pPr>
      <w:r>
        <w:t>Per-session password/PIN, consent prompts and permission profiles in attended mode.</w:t>
      </w:r>
    </w:p>
    <w:p>
      <w:pPr>
        <w:pStyle w:val="ListBullet"/>
      </w:pPr>
      <w:r>
        <w:t>For forensics: SHA-256 hash verification and chain-of-custody logging for extracted evidence.</w:t>
      </w:r>
    </w:p>
    <w:p>
      <w:pPr>
        <w:pStyle w:val="Heading2"/>
      </w:pPr>
      <w:r>
        <w:rPr>
          <w:color w:val="0B3D91"/>
        </w:rPr>
        <w:t>8.2 Honest limitations (to fix before real deployment)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Limitation</w:t>
            </w:r>
          </w:p>
        </w:tc>
        <w:tc>
          <w:tcPr>
            <w:tcW w:type="dxa" w:w="2880"/>
          </w:tcPr>
          <w:p>
            <w:r/>
            <w:r>
              <w:rPr>
                <w:b/>
              </w:rPr>
              <w:t>Impact</w:t>
            </w:r>
          </w:p>
        </w:tc>
        <w:tc>
          <w:tcPr>
            <w:tcW w:type="dxa" w:w="2880"/>
          </w:tcPr>
          <w:p>
            <w:r/>
            <w:r>
              <w:rPr>
                <w:b/>
              </w:rPr>
              <w:t>Fix</w:t>
            </w:r>
          </w:p>
        </w:tc>
      </w:tr>
      <w:tr>
        <w:tc>
          <w:tcPr>
            <w:tcW w:type="dxa" w:w="2880"/>
          </w:tcPr>
          <w:p>
            <w:r>
              <w:t>Default password is "updesk"</w:t>
            </w:r>
          </w:p>
        </w:tc>
        <w:tc>
          <w:tcPr>
            <w:tcW w:type="dxa" w:w="2880"/>
          </w:tcPr>
          <w:p>
            <w:r>
              <w:t>Trivially guessable</w:t>
            </w:r>
          </w:p>
        </w:tc>
        <w:tc>
          <w:tcPr>
            <w:tcW w:type="dxa" w:w="2880"/>
          </w:tcPr>
          <w:p>
            <w:r>
              <w:t>Set a strong per-device password via UPDESK_PW</w:t>
            </w:r>
          </w:p>
        </w:tc>
      </w:tr>
      <w:tr>
        <w:tc>
          <w:tcPr>
            <w:tcW w:type="dxa" w:w="2880"/>
          </w:tcPr>
          <w:p>
            <w:r>
              <w:t>Executable is unsigned</w:t>
            </w:r>
          </w:p>
        </w:tc>
        <w:tc>
          <w:tcPr>
            <w:tcW w:type="dxa" w:w="2880"/>
          </w:tcPr>
          <w:p>
            <w:r>
              <w:t>Antivirus blocks it; looks untrusted</w:t>
            </w:r>
          </w:p>
        </w:tc>
        <w:tc>
          <w:tcPr>
            <w:tcW w:type="dxa" w:w="2880"/>
          </w:tcPr>
          <w:p>
            <w:r>
              <w:t>Authenticode code-signing with an organizational certificate</w:t>
            </w:r>
          </w:p>
        </w:tc>
      </w:tr>
      <w:tr>
        <w:tc>
          <w:tcPr>
            <w:tcW w:type="dxa" w:w="2880"/>
          </w:tcPr>
          <w:p>
            <w:r>
              <w:t>Server enrollments in memory only</w:t>
            </w:r>
          </w:p>
        </w:tc>
        <w:tc>
          <w:tcPr>
            <w:tcW w:type="dxa" w:w="2880"/>
          </w:tcPr>
          <w:p>
            <w:r>
              <w:t>Reset if the server restarts</w:t>
            </w:r>
          </w:p>
        </w:tc>
        <w:tc>
          <w:tcPr>
            <w:tcW w:type="dxa" w:w="2880"/>
          </w:tcPr>
          <w:p>
            <w:r>
              <w:t>Enable the PostgreSQL persistence path</w:t>
            </w:r>
          </w:p>
        </w:tc>
      </w:tr>
      <w:tr>
        <w:tc>
          <w:tcPr>
            <w:tcW w:type="dxa" w:w="2880"/>
          </w:tcPr>
          <w:p>
            <w:r>
              <w:t>TURN credentials embedded in client</w:t>
            </w:r>
          </w:p>
        </w:tc>
        <w:tc>
          <w:tcPr>
            <w:tcW w:type="dxa" w:w="2880"/>
          </w:tcPr>
          <w:p>
            <w:r>
              <w:t>Relay credentials exposed</w:t>
            </w:r>
          </w:p>
        </w:tc>
        <w:tc>
          <w:tcPr>
            <w:tcW w:type="dxa" w:w="2880"/>
          </w:tcPr>
          <w:p>
            <w:r>
              <w:t>Rotate / short-lived TURN credentials</w:t>
            </w:r>
          </w:p>
        </w:tc>
      </w:tr>
      <w:tr>
        <w:tc>
          <w:tcPr>
            <w:tcW w:type="dxa" w:w="2880"/>
          </w:tcPr>
          <w:p>
            <w:r>
              <w:t>Dynamic-DNS domain (duckdns.org)</w:t>
            </w:r>
          </w:p>
        </w:tc>
        <w:tc>
          <w:tcPr>
            <w:tcW w:type="dxa" w:w="2880"/>
          </w:tcPr>
          <w:p>
            <w:r>
              <w:t>Blocked by some managed networks’ filters</w:t>
            </w:r>
          </w:p>
        </w:tc>
        <w:tc>
          <w:tcPr>
            <w:tcW w:type="dxa" w:w="2880"/>
          </w:tcPr>
          <w:p>
            <w:r>
              <w:t>Move to a normal organizational domain name</w:t>
            </w:r>
          </w:p>
        </w:tc>
      </w:tr>
    </w:tbl>
    <w:p>
      <w:pPr>
        <w:pStyle w:val="Heading1"/>
      </w:pPr>
      <w:r>
        <w:rPr>
          <w:color w:val="0B3D91"/>
        </w:rPr>
        <w:t>9. Intended Use &amp; Legal Framing</w:t>
      </w:r>
    </w:p>
    <w:p>
      <w:r>
        <w:t>UpDesk is built for one lawful purpose: examination of devices in the lawful custody and physical possession of an authorized forensic unit, under proper legal authority (warrant / seizure). In that setting the unattended and silent capabilities are appropriate because the operator controls the device and there is no third party whose consent is required — the same posture as any forensic imaging or extraction tool.</w:t>
      </w:r>
    </w:p>
    <w:tbl>
      <w:tblPr>
        <w:tblW w:type="auto" w:w="0"/>
        <w:jc w:val="center"/>
        <w:tblLook w:firstColumn="1" w:firstRow="1" w:lastColumn="0" w:lastRow="0" w:noHBand="0" w:noVBand="1" w:val="04A0"/>
      </w:tblPr>
      <w:tblGrid>
        <w:gridCol w:w="8640"/>
      </w:tblGrid>
      <w:tr>
        <w:tc>
          <w:tcPr>
            <w:tcW w:type="dxa" w:w="8640"/>
            <w:shd w:val="clear" w:fill="FDECEA"/>
          </w:tcPr>
          <w:p>
            <w:r>
              <w:rPr>
                <w:b/>
                <w:sz w:val="21"/>
              </w:rPr>
              <w:t xml:space="preserve">The boundary that keeps this a forensic tool and not spyware: </w:t>
            </w:r>
            <w:r>
              <w:rPr>
                <w:b w:val="0"/>
                <w:sz w:val="21"/>
              </w:rPr>
              <w:t>UpDesk enrolls devices the operator physically possesses; it has no capability, and is not intended, to be deployed covertly onto a device the operator does not lawfully hold. Enrollment is a deliberate, logged act tied to a case/authorization. Removing that boundary — covert remote deployment onto an unwitting person’s device — would cross into unlawful surveillance and is outside the design and intent of this project.</w:t>
            </w:r>
          </w:p>
        </w:tc>
      </w:tr>
    </w:tbl>
    <w:p/>
    <w:p>
      <w:r>
        <w:rPr>
          <w:i/>
          <w:color w:val="555555"/>
          <w:sz w:val="18"/>
        </w:rPr>
        <w:t>Document generated for internal technical and stakeholder briefing. Reflects the architecture as implemented at the time of writing.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UpDesk — Technical Architecture &amp; Security Explanation</dc:title>
  <dc:subject/>
  <dc:creator>UpDesk</dc:creator>
  <cp:keywords/>
  <dc:description>generated by python-docx</dc:description>
  <cp:lastModifiedBy/>
  <cp:revision>1</cp:revision>
  <dcterms:created xsi:type="dcterms:W3CDTF">2013-12-23T23:15:00Z</dcterms:created>
  <dcterms:modified xsi:type="dcterms:W3CDTF">2013-12-23T23:15:00Z</dcterms:modified>
  <cp:category/>
</cp:coreProperties>
</file>