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b/>
          <w:bCs/>
          <w:color w:val="2c3e6b"/>
          <w:sz w:val="56"/>
          <w:szCs w:val="56"/>
        </w:rPr>
        <w:t xml:space="preserve">CryptoTrace I4C</w:t>
      </w:r>
    </w:p>
    <w:p>
      <w:pPr>
        <w:spacing w:after="100"/>
        <w:jc w:val="center"/>
      </w:pPr>
      <w:r>
        <w:rPr>
          <w:b/>
          <w:bCs/>
          <w:color w:val="1a2332"/>
          <w:sz w:val="26"/>
          <w:szCs w:val="26"/>
        </w:rPr>
        <w:t xml:space="preserve">Deep-Dive Solution Explainer &amp; 55-Question Judge Defence Bank</w:t>
      </w:r>
    </w:p>
    <w:p>
      <w:pPr>
        <w:spacing w:after="500"/>
        <w:jc w:val="center"/>
      </w:pPr>
      <w:r>
        <w:rPr>
          <w:i/>
          <w:iCs/>
          <w:color w:val="555555"/>
          <w:sz w:val="19"/>
          <w:szCs w:val="19"/>
        </w:rPr>
        <w:t xml:space="preserve">SIH26183 — Ministry of Home Affairs / I4C — Team practice document</w:t>
      </w:r>
    </w:p>
    <w:p>
      <w:r>
        <w:br w:type="page"/>
      </w:r>
    </w:p>
    <w:p>
      <w:pPr>
        <w:pStyle w:val="Heading1"/>
        <w:spacing w:after="150" w:before="340"/>
      </w:pPr>
      <w:r>
        <w:rPr>
          <w:b/>
          <w:bCs/>
          <w:color w:val="2c3e6b"/>
          <w:sz w:val="30"/>
          <w:szCs w:val="30"/>
        </w:rPr>
        <w:t xml:space="preserve">Part 1 — Deep-Dive: Understand the Whole Solution</w:t>
      </w:r>
    </w:p>
    <w:p>
      <w:pPr>
        <w:pStyle w:val="Heading2"/>
        <w:spacing w:after="110" w:before="240"/>
      </w:pPr>
      <w:r>
        <w:rPr>
          <w:b/>
          <w:bCs/>
          <w:color w:val="1a2332"/>
          <w:sz w:val="23"/>
          <w:szCs w:val="23"/>
        </w:rPr>
        <w:t xml:space="preserve">1.1 The problem in one paragraph</w:t>
      </w:r>
    </w:p>
    <w:p>
      <w:pPr>
        <w:spacing w:after="130" w:line="300"/>
      </w:pPr>
      <w:r>
        <w:rPr>
          <w:sz w:val="20"/>
          <w:szCs w:val="20"/>
        </w:rPr>
        <w:t xml:space="preserve">A cyber-fraud victim reports a crypto wallet address to police. That address is public, but manually following where the money went — through possibly dozens of intermediate wallets, across a blockchain explorer, one transaction at a time — takes an investigator significant time and expertise. By the time the trail is manually followed to an exchange, the fraudster has often already withdrawn and disappeared. CryptoTrace I4C automates the repetitive, evidence-gathering part of this chase.</w:t>
      </w:r>
    </w:p>
    <w:p>
      <w:pPr>
        <w:pStyle w:val="Heading2"/>
        <w:spacing w:after="110" w:before="240"/>
      </w:pPr>
      <w:r>
        <w:rPr>
          <w:b/>
          <w:bCs/>
          <w:color w:val="1a2332"/>
          <w:sz w:val="23"/>
          <w:szCs w:val="23"/>
        </w:rPr>
        <w:t xml:space="preserve">1.2 The end-to-end pipeline, explained step by step</w:t>
      </w:r>
    </w:p>
    <w:p>
      <w:pPr>
        <w:pStyle w:val="ListParagraph"/>
        <w:numPr>
          <w:ilvl w:val="0"/>
          <w:numId w:val="2"/>
        </w:numPr>
        <w:spacing w:after="70" w:line="280"/>
      </w:pPr>
      <w:r>
        <w:rPr>
          <w:sz w:val="20"/>
          <w:szCs w:val="20"/>
        </w:rPr>
        <w:t xml:space="preserve">Step 1 — Input: an investigator pastes the victim-reported wallet address into the system, optionally with a case ID and chain hint.</w:t>
      </w:r>
    </w:p>
    <w:p>
      <w:pPr>
        <w:pStyle w:val="ListParagraph"/>
        <w:numPr>
          <w:ilvl w:val="0"/>
          <w:numId w:val="2"/>
        </w:numPr>
        <w:spacing w:after="70" w:line="280"/>
      </w:pPr>
      <w:r>
        <w:rPr>
          <w:sz w:val="20"/>
          <w:szCs w:val="20"/>
        </w:rPr>
        <w:t xml:space="preserve">Step 2 — Chain detection: the system works out which blockchain the address belongs to (Ethereum-style vs TRON-style addresses have different formats) — or the investigator selects it manually.</w:t>
      </w:r>
    </w:p>
    <w:p>
      <w:pPr>
        <w:pStyle w:val="ListParagraph"/>
        <w:numPr>
          <w:ilvl w:val="0"/>
          <w:numId w:val="2"/>
        </w:numPr>
        <w:spacing w:after="70" w:line="280"/>
      </w:pPr>
      <w:r>
        <w:rPr>
          <w:sz w:val="20"/>
          <w:szCs w:val="20"/>
        </w:rPr>
        <w:t xml:space="preserve">Step 3 — Transaction retrieval: the system calls a public blockchain API (Etherscan for Ethereum, TronScan for TRON) to pull every transaction the wallet has been part of. This is public data — no special access needed.</w:t>
      </w:r>
    </w:p>
    <w:p>
      <w:pPr>
        <w:pStyle w:val="ListParagraph"/>
        <w:numPr>
          <w:ilvl w:val="0"/>
          <w:numId w:val="2"/>
        </w:numPr>
        <w:spacing w:after="70" w:line="280"/>
      </w:pPr>
      <w:r>
        <w:rPr>
          <w:sz w:val="20"/>
          <w:szCs w:val="20"/>
        </w:rPr>
        <w:t xml:space="preserve">Step 4 — Normalisation: every chain's API returns data in a different shape. The system converts all of it into one common internal format (chain, tx_hash, from, to, asset, amount, timestamp, block) so the rest of the system never has to think about which chain it's looking at.</w:t>
      </w:r>
    </w:p>
    <w:p>
      <w:pPr>
        <w:pStyle w:val="ListParagraph"/>
        <w:numPr>
          <w:ilvl w:val="0"/>
          <w:numId w:val="2"/>
        </w:numPr>
        <w:spacing w:after="70" w:line="280"/>
      </w:pPr>
      <w:r>
        <w:rPr>
          <w:sz w:val="20"/>
          <w:szCs w:val="20"/>
        </w:rPr>
        <w:t xml:space="preserve">Step 5 — Graph construction: using NetworkX, wallets become nodes and transactions become directed edges. The reported wallet is the starting node.</w:t>
      </w:r>
    </w:p>
    <w:p>
      <w:pPr>
        <w:pStyle w:val="ListParagraph"/>
        <w:numPr>
          <w:ilvl w:val="0"/>
          <w:numId w:val="2"/>
        </w:numPr>
        <w:spacing w:after="70" w:line="280"/>
      </w:pPr>
      <w:r>
        <w:rPr>
          <w:sz w:val="20"/>
          <w:szCs w:val="20"/>
        </w:rPr>
        <w:t xml:space="preserve">Step 6 — Bounded traversal: the system follows outgoing transfers for a fixed number of hops (2-3, chosen deliberately to keep the prototype predictable and fast) rather than trying to follow every possible branch forever.</w:t>
      </w:r>
    </w:p>
    <w:p>
      <w:pPr>
        <w:pStyle w:val="ListParagraph"/>
        <w:numPr>
          <w:ilvl w:val="0"/>
          <w:numId w:val="2"/>
        </w:numPr>
        <w:spacing w:after="70" w:line="280"/>
      </w:pPr>
      <w:r>
        <w:rPr>
          <w:sz w:val="20"/>
          <w:szCs w:val="20"/>
        </w:rPr>
        <w:t xml:space="preserve">Step 7 — VASP matching: at each hop, the destination address is checked against a small, source-labelled dataset of known exchange/VASP addresses. An exact match is the strongest signal; if a destination isn't in the dataset, the system honestly shows UNKNOWN rather than guessing.</w:t>
      </w:r>
    </w:p>
    <w:p>
      <w:pPr>
        <w:pStyle w:val="ListParagraph"/>
        <w:numPr>
          <w:ilvl w:val="0"/>
          <w:numId w:val="2"/>
        </w:numPr>
        <w:spacing w:after="70" w:line="280"/>
      </w:pPr>
      <w:r>
        <w:rPr>
          <w:sz w:val="20"/>
          <w:szCs w:val="20"/>
        </w:rPr>
        <w:t xml:space="preserve">Step 8 — Risk heuristics: separately, the system checks the wallet for explainable behavioural patterns — rapid forwarding, very little prior history (burner-like), many inputs consolidating into one output, known mixer interaction — and shows each flag together with the exact rule that triggered it.</w:t>
      </w:r>
    </w:p>
    <w:p>
      <w:pPr>
        <w:pStyle w:val="ListParagraph"/>
        <w:numPr>
          <w:ilvl w:val="0"/>
          <w:numId w:val="2"/>
        </w:numPr>
        <w:spacing w:after="70" w:line="280"/>
      </w:pPr>
      <w:r>
        <w:rPr>
          <w:sz w:val="20"/>
          <w:szCs w:val="20"/>
        </w:rPr>
        <w:t xml:space="preserve">Step 9 — Evidence and report: the final output is an interactive graph, a plain-language path summary, transaction hashes as evidence, and a one-click structured PDF report an investigator can carry into the next legal step.</w:t>
      </w:r>
    </w:p>
    <w:p>
      <w:pPr>
        <w:pStyle w:val="Heading2"/>
        <w:spacing w:after="110" w:before="240"/>
      </w:pPr>
      <w:r>
        <w:rPr>
          <w:b/>
          <w:bCs/>
          <w:color w:val="1a2332"/>
          <w:sz w:val="23"/>
          <w:szCs w:val="23"/>
        </w:rPr>
        <w:t xml:space="preserve">1.3 Why VASP attribution is handled the way it is</w:t>
      </w:r>
    </w:p>
    <w:p>
      <w:pPr>
        <w:spacing w:after="130" w:line="300"/>
      </w:pPr>
      <w:r>
        <w:rPr>
          <w:sz w:val="20"/>
          <w:szCs w:val="20"/>
        </w:rPr>
        <w:t xml:space="preserve">This is the single most important design decision in the whole project, and the one most likely to be probed by judges. There are four ways an address could be linked to an exchange, in decreasing order of trustworthiness: an exact match against a labelled dataset (high confidence, used as the primary method); a public explorer/community tag (medium-high, used as supporting evidence with its source recorded); a behavioural heuristic like exchange-like deposit/withdrawal patterns (low confidence, shown only as a secondary lead, never as proof); and commercial proprietary intelligence, which the prototype does not attempt to replicate. Every single attribution the system shows carries its method and confidence level attached — nothing is ever presented as a bare fact.</w:t>
      </w:r>
    </w:p>
    <w:p>
      <w:pPr>
        <w:pStyle w:val="Heading2"/>
        <w:spacing w:after="110" w:before="240"/>
      </w:pPr>
      <w:r>
        <w:rPr>
          <w:b/>
          <w:bCs/>
          <w:color w:val="1a2332"/>
          <w:sz w:val="23"/>
          <w:szCs w:val="23"/>
        </w:rPr>
        <w:t xml:space="preserve">1.4 What is genuinely new here, and what isn't</w:t>
      </w:r>
    </w:p>
    <w:p>
      <w:pPr>
        <w:spacing w:after="130" w:line="300"/>
      </w:pPr>
      <w:r>
        <w:rPr>
          <w:sz w:val="20"/>
          <w:szCs w:val="20"/>
        </w:rPr>
        <w:t xml:space="preserve">Fetching public transaction data, drawing a graph, and matching known addresses are not new — public tools and commercial platforms already do all three. The honest, defensible claim is narrower: this system compresses an investigator's repeated manual workflow (open explorer, follow transfer, open explorer again, note it down, repeat, then write up findings) into one input that produces a bounded trace, an evidence-linked VASP match with its confidence shown, and a ready report — specifically shaped around the Indian cybercrime investigator's actual task, not a general-purpose blockchain explorer.</w:t>
      </w:r>
    </w:p>
    <w:p>
      <w:pPr>
        <w:pStyle w:val="Heading2"/>
        <w:spacing w:after="110" w:before="240"/>
      </w:pPr>
      <w:r>
        <w:rPr>
          <w:b/>
          <w:bCs/>
          <w:color w:val="1a2332"/>
          <w:sz w:val="23"/>
          <w:szCs w:val="23"/>
        </w:rPr>
        <w:t xml:space="preserve">1.5 The three layers that must never be confused</w:t>
      </w:r>
    </w:p>
    <w:p>
      <w:pPr>
        <w:pStyle w:val="ListParagraph"/>
        <w:numPr>
          <w:ilvl w:val="0"/>
          <w:numId w:val="2"/>
        </w:numPr>
        <w:spacing w:after="70" w:line="280"/>
      </w:pPr>
      <w:r>
        <w:rPr>
          <w:sz w:val="20"/>
          <w:szCs w:val="20"/>
        </w:rPr>
        <w:t xml:space="preserve">Blockchain data — Address A sent X to Address B at time T. This is publicly verifiable and the system proves it with a transaction hash. The system CAN do this.</w:t>
      </w:r>
    </w:p>
    <w:p>
      <w:pPr>
        <w:pStyle w:val="ListParagraph"/>
        <w:numPr>
          <w:ilvl w:val="0"/>
          <w:numId w:val="2"/>
        </w:numPr>
        <w:spacing w:after="70" w:line="280"/>
      </w:pPr>
      <w:r>
        <w:rPr>
          <w:sz w:val="20"/>
          <w:szCs w:val="20"/>
        </w:rPr>
        <w:t xml:space="preserve">Entity attribution — this destination address belongs to a known exchange. The system CAN do this, but only when label evidence supports it, and always with a stated confidence level.</w:t>
      </w:r>
    </w:p>
    <w:p>
      <w:pPr>
        <w:pStyle w:val="ListParagraph"/>
        <w:numPr>
          <w:ilvl w:val="0"/>
          <w:numId w:val="2"/>
        </w:numPr>
        <w:spacing w:after="70" w:line="280"/>
      </w:pPr>
      <w:r>
        <w:rPr>
          <w:sz w:val="20"/>
          <w:szCs w:val="20"/>
        </w:rPr>
        <w:t xml:space="preserve">Real-world identity — that exchange account belongs to a specific named person. The system CANNOT do this — it requires the exchange's own KYC records and a formal legal/compliance process outside the blockchain entirely.</w:t>
      </w:r>
    </w:p>
    <w:p>
      <w:pPr>
        <w:pStyle w:val="Heading2"/>
        <w:spacing w:after="110" w:before="240"/>
      </w:pPr>
      <w:r>
        <w:rPr>
          <w:b/>
          <w:bCs/>
          <w:color w:val="1a2332"/>
          <w:sz w:val="23"/>
          <w:szCs w:val="23"/>
        </w:rPr>
        <w:t xml:space="preserve">1.6 Firm boundaries — what the team will never claim</w:t>
      </w:r>
    </w:p>
    <w:p>
      <w:pPr>
        <w:pStyle w:val="ListParagraph"/>
        <w:numPr>
          <w:ilvl w:val="0"/>
          <w:numId w:val="2"/>
        </w:numPr>
        <w:spacing w:after="70" w:line="280"/>
      </w:pPr>
      <w:r>
        <w:rPr>
          <w:sz w:val="20"/>
          <w:szCs w:val="20"/>
        </w:rPr>
        <w:t xml:space="preserve">No real-person identification.</w:t>
      </w:r>
    </w:p>
    <w:p>
      <w:pPr>
        <w:pStyle w:val="ListParagraph"/>
        <w:numPr>
          <w:ilvl w:val="0"/>
          <w:numId w:val="2"/>
        </w:numPr>
        <w:spacing w:after="70" w:line="280"/>
      </w:pPr>
      <w:r>
        <w:rPr>
          <w:sz w:val="20"/>
          <w:szCs w:val="20"/>
        </w:rPr>
        <w:t xml:space="preserve">No guaranteed attribution of an unknown wallet.</w:t>
      </w:r>
    </w:p>
    <w:p>
      <w:pPr>
        <w:pStyle w:val="ListParagraph"/>
        <w:numPr>
          <w:ilvl w:val="0"/>
          <w:numId w:val="2"/>
        </w:numPr>
        <w:spacing w:after="70" w:line="280"/>
      </w:pPr>
      <w:r>
        <w:rPr>
          <w:sz w:val="20"/>
          <w:szCs w:val="20"/>
        </w:rPr>
        <w:t xml:space="preserve">No complete cross-chain tracing across arbitrary bridges.</w:t>
      </w:r>
    </w:p>
    <w:p>
      <w:pPr>
        <w:pStyle w:val="ListParagraph"/>
        <w:numPr>
          <w:ilvl w:val="0"/>
          <w:numId w:val="2"/>
        </w:numPr>
        <w:spacing w:after="70" w:line="280"/>
      </w:pPr>
      <w:r>
        <w:rPr>
          <w:sz w:val="20"/>
          <w:szCs w:val="20"/>
        </w:rPr>
        <w:t xml:space="preserve">No mixer de-anonymisation.</w:t>
      </w:r>
    </w:p>
    <w:p>
      <w:pPr>
        <w:pStyle w:val="ListParagraph"/>
        <w:numPr>
          <w:ilvl w:val="0"/>
          <w:numId w:val="2"/>
        </w:numPr>
        <w:spacing w:after="70" w:line="280"/>
      </w:pPr>
      <w:r>
        <w:rPr>
          <w:sz w:val="20"/>
          <w:szCs w:val="20"/>
        </w:rPr>
        <w:t xml:space="preserve">No automatic freezing of funds — the system produces evidence for a human-led legal request, it does not act on its own.</w:t>
      </w:r>
    </w:p>
    <w:p>
      <w:pPr>
        <w:pStyle w:val="Heading2"/>
        <w:spacing w:after="110" w:before="240"/>
      </w:pPr>
      <w:r>
        <w:rPr>
          <w:b/>
          <w:bCs/>
          <w:color w:val="1a2332"/>
          <w:sz w:val="23"/>
          <w:szCs w:val="23"/>
        </w:rPr>
        <w:t xml:space="preserve">1.7 On the SUTRA reference on the research slide</w:t>
      </w:r>
    </w:p>
    <w:p>
      <w:pPr>
        <w:spacing w:after="130" w:line="300"/>
      </w:pPr>
      <w:r>
        <w:rPr>
          <w:sz w:val="20"/>
          <w:szCs w:val="20"/>
        </w:rPr>
        <w:t xml:space="preserve">The research slide references Project SUTRA (a human-chain fusion and predictive-lead concept) as a research input, not a built feature. If a judge asks about it, the honest answer is: it shaped the team's thinking about future, syndicate-level investigation, but nothing from it is implemented in the current prototype — it belongs entirely in the post-hackathon roadmap, not in what is being demonstrated today.</w:t>
      </w:r>
    </w:p>
    <w:p>
      <w:r>
        <w:br w:type="page"/>
      </w:r>
    </w:p>
    <w:p>
      <w:pPr>
        <w:pStyle w:val="Heading1"/>
        <w:spacing w:after="150" w:before="340"/>
      </w:pPr>
      <w:r>
        <w:rPr>
          <w:b/>
          <w:bCs/>
          <w:color w:val="2c3e6b"/>
          <w:sz w:val="30"/>
          <w:szCs w:val="30"/>
        </w:rPr>
        <w:t xml:space="preserve">Part 2 — 55-Question Judge Defence Bank</w:t>
      </w:r>
    </w:p>
    <w:p>
      <w:pPr>
        <w:spacing w:after="130" w:line="300"/>
      </w:pPr>
      <w:r>
        <w:rPr>
          <w:sz w:val="20"/>
          <w:szCs w:val="20"/>
        </w:rPr>
        <w:t xml:space="preserve">Organised by theme. Read each answer in your own words during rehearsal rather than memorising verbatim — a judge can tell the difference, and the goal is genuine understanding, not recitation.</w:t>
      </w:r>
    </w:p>
    <w:p>
      <w:pPr>
        <w:pStyle w:val="Heading2"/>
        <w:spacing w:after="110" w:before="240"/>
      </w:pPr>
      <w:r>
        <w:rPr>
          <w:b/>
          <w:bCs/>
          <w:color w:val="1a2332"/>
          <w:sz w:val="23"/>
          <w:szCs w:val="23"/>
        </w:rPr>
        <w:t xml:space="preserve">A. Basic Understanding (1-9)</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300"/>
            <w:shd w:fill="2c3e6b" w:val="clear"/>
            <w:tcMar>
              <w:top w:type="dxa" w:w="80"/>
              <w:left w:type="dxa" w:w="110"/>
              <w:bottom w:type="dxa" w:w="80"/>
              <w:right w:type="dxa" w:w="110"/>
            </w:tcMar>
          </w:tcPr>
          <w:p>
            <w:r>
              <w:rPr>
                <w:b/>
                <w:bCs/>
                <w:color w:val="FFFFFF"/>
                <w:sz w:val="19"/>
                <w:szCs w:val="19"/>
              </w:rPr>
              <w:t xml:space="preserve">Judge question</w:t>
            </w:r>
          </w:p>
        </w:tc>
        <w:tc>
          <w:tcPr>
            <w:tcW w:type="dxa" w:w="6700"/>
            <w:shd w:fill="2c3e6b" w:val="clear"/>
            <w:tcMar>
              <w:top w:type="dxa" w:w="80"/>
              <w:left w:type="dxa" w:w="110"/>
              <w:bottom w:type="dxa" w:w="80"/>
              <w:right w:type="dxa" w:w="110"/>
            </w:tcMar>
          </w:tcPr>
          <w:p>
            <w:r>
              <w:rPr>
                <w:b/>
                <w:bCs/>
                <w:color w:val="FFFFFF"/>
                <w:sz w:val="19"/>
                <w:szCs w:val="19"/>
              </w:rPr>
              <w:t xml:space="preserve">Confident answer</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 problem are you actually solving?</w:t>
            </w:r>
          </w:p>
        </w:tc>
        <w:tc>
          <w:tcPr>
            <w:tcW w:type="dxa" w:w="6700"/>
            <w:tcMar>
              <w:top w:type="dxa" w:w="90"/>
              <w:left w:type="dxa" w:w="110"/>
              <w:bottom w:type="dxa" w:w="90"/>
              <w:right w:type="dxa" w:w="110"/>
            </w:tcMar>
            <w:vAlign w:val="center"/>
          </w:tcPr>
          <w:p>
            <w:r>
              <w:rPr>
                <w:sz w:val="18"/>
                <w:szCs w:val="18"/>
              </w:rPr>
              <w:t xml:space="preserve">A victim reports a crypto wallet used by a fraudster. We automate the process of tracing where that wallet's funds went, and identifying the exchange they likely ended up at, so an investigator gets this in minutes instead of manually working through a blockchain explorer.</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 does the system take as input and give as output?</w:t>
            </w:r>
          </w:p>
        </w:tc>
        <w:tc>
          <w:tcPr>
            <w:tcW w:type="dxa" w:w="6700"/>
            <w:tcMar>
              <w:top w:type="dxa" w:w="90"/>
              <w:left w:type="dxa" w:w="110"/>
              <w:bottom w:type="dxa" w:w="90"/>
              <w:right w:type="dxa" w:w="110"/>
            </w:tcMar>
            <w:vAlign w:val="center"/>
          </w:tcPr>
          <w:p>
            <w:r>
              <w:rPr>
                <w:sz w:val="18"/>
                <w:szCs w:val="18"/>
              </w:rPr>
              <w:t xml:space="preserve">Input is a single suspect wallet address (plus optional chain/case details). Output is an interactive fund-flow graph, a plain-language path summary, a confidence-scored VASP match when evidence supports it, risk flags with their triggering rules, and a downloadable PDF investigation report.</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 is a VASP?</w:t>
            </w:r>
          </w:p>
        </w:tc>
        <w:tc>
          <w:tcPr>
            <w:tcW w:type="dxa" w:w="6700"/>
            <w:tcMar>
              <w:top w:type="dxa" w:w="90"/>
              <w:left w:type="dxa" w:w="110"/>
              <w:bottom w:type="dxa" w:w="90"/>
              <w:right w:type="dxa" w:w="110"/>
            </w:tcMar>
            <w:vAlign w:val="center"/>
          </w:tcPr>
          <w:p>
            <w:r>
              <w:rPr>
                <w:sz w:val="18"/>
                <w:szCs w:val="18"/>
              </w:rPr>
              <w:t xml:space="preserve">Virtual Asset Service Provider — in this project, mainly a cryptocurrency exchange or similar regulated service that can receive a deposit and later let someone withdraw fiat or another asset.</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 is 'entity attribution' versus 'identity'?</w:t>
            </w:r>
          </w:p>
        </w:tc>
        <w:tc>
          <w:tcPr>
            <w:tcW w:type="dxa" w:w="6700"/>
            <w:tcMar>
              <w:top w:type="dxa" w:w="90"/>
              <w:left w:type="dxa" w:w="110"/>
              <w:bottom w:type="dxa" w:w="90"/>
              <w:right w:type="dxa" w:w="110"/>
            </w:tcMar>
            <w:vAlign w:val="center"/>
          </w:tcPr>
          <w:p>
            <w:r>
              <w:rPr>
                <w:sz w:val="18"/>
                <w:szCs w:val="18"/>
              </w:rPr>
              <w:t xml:space="preserve">Entity attribution means linking an address to a known service, like an exchange. Identity means knowing the actual named person behind an account. We can do the first from public blockchain data; the second needs the exchange's private KYC records and a legal process.</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Why did you pick Ethereum and TRON specifically?</w:t>
            </w:r>
          </w:p>
        </w:tc>
        <w:tc>
          <w:tcPr>
            <w:tcW w:type="dxa" w:w="6700"/>
            <w:tcMar>
              <w:top w:type="dxa" w:w="90"/>
              <w:left w:type="dxa" w:w="110"/>
              <w:bottom w:type="dxa" w:w="90"/>
              <w:right w:type="dxa" w:w="110"/>
            </w:tcMar>
            <w:vAlign w:val="center"/>
          </w:tcPr>
          <w:p>
            <w:r>
              <w:rPr>
                <w:sz w:val="18"/>
                <w:szCs w:val="18"/>
              </w:rPr>
              <w:t xml:space="preserve">They're the two chains with the most fraud-relevant activity — Ethereum is widely used, and TRON is especially relevant because most USDT (the stablecoin most commonly used in Indian crypto fraud cases) moves as TRC-20 tokens on TRON.</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 does 'bounded tracing' mean and why 2-3 hops?</w:t>
            </w:r>
          </w:p>
        </w:tc>
        <w:tc>
          <w:tcPr>
            <w:tcW w:type="dxa" w:w="6700"/>
            <w:tcMar>
              <w:top w:type="dxa" w:w="90"/>
              <w:left w:type="dxa" w:w="110"/>
              <w:bottom w:type="dxa" w:w="90"/>
              <w:right w:type="dxa" w:w="110"/>
            </w:tcMar>
            <w:vAlign w:val="center"/>
          </w:tcPr>
          <w:p>
            <w:r>
              <w:rPr>
                <w:sz w:val="18"/>
                <w:szCs w:val="18"/>
              </w:rPr>
              <w:t xml:space="preserve">It means we only follow the money a fixed number of wallet-to-wallet steps rather than trying to follow every possible branch indefinitely. 2-3 hops keeps the prototype's behaviour predictable, fast, and demonstrable, since fund flows can branch exponentially beyond that.</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 is a 'hop' in this context?</w:t>
            </w:r>
          </w:p>
        </w:tc>
        <w:tc>
          <w:tcPr>
            <w:tcW w:type="dxa" w:w="6700"/>
            <w:tcMar>
              <w:top w:type="dxa" w:w="90"/>
              <w:left w:type="dxa" w:w="110"/>
              <w:bottom w:type="dxa" w:w="90"/>
              <w:right w:type="dxa" w:w="110"/>
            </w:tcMar>
            <w:vAlign w:val="center"/>
          </w:tcPr>
          <w:p>
            <w:r>
              <w:rPr>
                <w:sz w:val="18"/>
                <w:szCs w:val="18"/>
              </w:rPr>
              <w:t xml:space="preserve">One wallet-to-wallet transfer step in the traced path — wallet A sending to wallet B is one hop.</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Is this a mobile app or a website?</w:t>
            </w:r>
          </w:p>
        </w:tc>
        <w:tc>
          <w:tcPr>
            <w:tcW w:type="dxa" w:w="6700"/>
            <w:tcMar>
              <w:top w:type="dxa" w:w="90"/>
              <w:left w:type="dxa" w:w="110"/>
              <w:bottom w:type="dxa" w:w="90"/>
              <w:right w:type="dxa" w:w="110"/>
            </w:tcMar>
            <w:vAlign w:val="center"/>
          </w:tcPr>
          <w:p>
            <w:r>
              <w:rPr>
                <w:sz w:val="18"/>
                <w:szCs w:val="18"/>
              </w:rPr>
              <w:t xml:space="preserve">It's a web-based investigator dashboard (React frontend, Python/FastAPI backend) — no mobile app in this scope.</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Who is the intended user of this tool?</w:t>
            </w:r>
          </w:p>
        </w:tc>
        <w:tc>
          <w:tcPr>
            <w:tcW w:type="dxa" w:w="6700"/>
            <w:tcMar>
              <w:top w:type="dxa" w:w="90"/>
              <w:left w:type="dxa" w:w="110"/>
              <w:bottom w:type="dxa" w:w="90"/>
              <w:right w:type="dxa" w:w="110"/>
            </w:tcMar>
            <w:vAlign w:val="center"/>
          </w:tcPr>
          <w:p>
            <w:r>
              <w:rPr>
                <w:sz w:val="18"/>
                <w:szCs w:val="18"/>
              </w:rPr>
              <w:t xml:space="preserve">A cybercrime investigator or cyber-cell analyst who currently does this tracing manually across multiple browser tabs and explorers.</w:t>
            </w:r>
          </w:p>
        </w:tc>
      </w:tr>
    </w:tbl>
    <w:p>
      <w:pPr>
        <w:pStyle w:val="Heading2"/>
        <w:spacing w:after="110" w:before="240"/>
      </w:pPr>
      <w:r>
        <w:rPr>
          <w:b/>
          <w:bCs/>
          <w:color w:val="1a2332"/>
          <w:sz w:val="23"/>
          <w:szCs w:val="23"/>
        </w:rPr>
        <w:t xml:space="preserve">B. Technical Architecture (10-21)</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300"/>
            <w:shd w:fill="2c3e6b" w:val="clear"/>
            <w:tcMar>
              <w:top w:type="dxa" w:w="80"/>
              <w:left w:type="dxa" w:w="110"/>
              <w:bottom w:type="dxa" w:w="80"/>
              <w:right w:type="dxa" w:w="110"/>
            </w:tcMar>
          </w:tcPr>
          <w:p>
            <w:r>
              <w:rPr>
                <w:b/>
                <w:bCs/>
                <w:color w:val="FFFFFF"/>
                <w:sz w:val="19"/>
                <w:szCs w:val="19"/>
              </w:rPr>
              <w:t xml:space="preserve">Judge question</w:t>
            </w:r>
          </w:p>
        </w:tc>
        <w:tc>
          <w:tcPr>
            <w:tcW w:type="dxa" w:w="6700"/>
            <w:shd w:fill="2c3e6b" w:val="clear"/>
            <w:tcMar>
              <w:top w:type="dxa" w:w="80"/>
              <w:left w:type="dxa" w:w="110"/>
              <w:bottom w:type="dxa" w:w="80"/>
              <w:right w:type="dxa" w:w="110"/>
            </w:tcMar>
          </w:tcPr>
          <w:p>
            <w:r>
              <w:rPr>
                <w:b/>
                <w:bCs/>
                <w:color w:val="FFFFFF"/>
                <w:sz w:val="19"/>
                <w:szCs w:val="19"/>
              </w:rPr>
              <w:t xml:space="preserve">Confident answer</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Walk me through your architecture end to end.</w:t>
            </w:r>
          </w:p>
        </w:tc>
        <w:tc>
          <w:tcPr>
            <w:tcW w:type="dxa" w:w="6700"/>
            <w:tcMar>
              <w:top w:type="dxa" w:w="90"/>
              <w:left w:type="dxa" w:w="110"/>
              <w:bottom w:type="dxa" w:w="90"/>
              <w:right w:type="dxa" w:w="110"/>
            </w:tcMar>
            <w:vAlign w:val="center"/>
          </w:tcPr>
          <w:p>
            <w:r>
              <w:rPr>
                <w:sz w:val="18"/>
                <w:szCs w:val="18"/>
              </w:rPr>
              <w:t xml:space="preserve">Investigator UI submits a wallet address, FastAPI backend detects the chain, chain-specific adapters pull transactions from Etherscan/TronScan, a normaliser converts everything into one internal schema, NetworkX builds and traverses the graph, a VASP/risk module matches and flags results, and a report generator produces the final PDF and dashboard view.</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Why NetworkX instead of a graph database like Neo4j?</w:t>
            </w:r>
          </w:p>
        </w:tc>
        <w:tc>
          <w:tcPr>
            <w:tcW w:type="dxa" w:w="6700"/>
            <w:tcMar>
              <w:top w:type="dxa" w:w="90"/>
              <w:left w:type="dxa" w:w="110"/>
              <w:bottom w:type="dxa" w:w="90"/>
              <w:right w:type="dxa" w:w="110"/>
            </w:tcMar>
            <w:vAlign w:val="center"/>
          </w:tcPr>
          <w:p>
            <w:r>
              <w:rPr>
                <w:sz w:val="18"/>
                <w:szCs w:val="18"/>
              </w:rPr>
              <w:t xml:space="preserve">For a bounded 2-3 hop trace on a single reported wallet, an in-memory graph library is simpler, faster to build, and sufficient — a full graph database adds infrastructure overhead the prototype's scope doesn't need.</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Why do you normalise transactions into one schema?</w:t>
            </w:r>
          </w:p>
        </w:tc>
        <w:tc>
          <w:tcPr>
            <w:tcW w:type="dxa" w:w="6700"/>
            <w:tcMar>
              <w:top w:type="dxa" w:w="90"/>
              <w:left w:type="dxa" w:w="110"/>
              <w:bottom w:type="dxa" w:w="90"/>
              <w:right w:type="dxa" w:w="110"/>
            </w:tcMar>
            <w:vAlign w:val="center"/>
          </w:tcPr>
          <w:p>
            <w:r>
              <w:rPr>
                <w:sz w:val="18"/>
                <w:szCs w:val="18"/>
              </w:rPr>
              <w:t xml:space="preserve">Because each chain's API returns data in a different shape. Normalising once means the graph logic, the frontend, and the report generator never need to know which chain they're looking at — only the small API adapter layer does.</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 exactly is in your VASP label dataset?</w:t>
            </w:r>
          </w:p>
        </w:tc>
        <w:tc>
          <w:tcPr>
            <w:tcW w:type="dxa" w:w="6700"/>
            <w:tcMar>
              <w:top w:type="dxa" w:w="90"/>
              <w:left w:type="dxa" w:w="110"/>
              <w:bottom w:type="dxa" w:w="90"/>
              <w:right w:type="dxa" w:w="110"/>
            </w:tcMar>
            <w:vAlign w:val="center"/>
          </w:tcPr>
          <w:p>
            <w:r>
              <w:rPr>
                <w:sz w:val="18"/>
                <w:szCs w:val="18"/>
              </w:rPr>
              <w:t xml:space="preserve">A small, source-labelled JSON/SQLite dataset of known exchange addresses, where every entry records the address, the entity name, the source of the label, and the date it was recorded — so every match is traceable back to why we believe it.</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Why record a 'source' and 'date' for every label?</w:t>
            </w:r>
          </w:p>
        </w:tc>
        <w:tc>
          <w:tcPr>
            <w:tcW w:type="dxa" w:w="6700"/>
            <w:tcMar>
              <w:top w:type="dxa" w:w="90"/>
              <w:left w:type="dxa" w:w="110"/>
              <w:bottom w:type="dxa" w:w="90"/>
              <w:right w:type="dxa" w:w="110"/>
            </w:tcMar>
            <w:vAlign w:val="center"/>
          </w:tcPr>
          <w:p>
            <w:r>
              <w:rPr>
                <w:sz w:val="18"/>
                <w:szCs w:val="18"/>
              </w:rPr>
              <w:t xml:space="preserve">Because address-to-entity mappings can go stale or be wrong. Recording provenance lets an investigator judge how much to trust a given match, rather than treating our database as infallible.</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How do you detect which blockchain an address belongs to?</w:t>
            </w:r>
          </w:p>
        </w:tc>
        <w:tc>
          <w:tcPr>
            <w:tcW w:type="dxa" w:w="6700"/>
            <w:tcMar>
              <w:top w:type="dxa" w:w="90"/>
              <w:left w:type="dxa" w:w="110"/>
              <w:bottom w:type="dxa" w:w="90"/>
              <w:right w:type="dxa" w:w="110"/>
            </w:tcMar>
            <w:vAlign w:val="center"/>
          </w:tcPr>
          <w:p>
            <w:r>
              <w:rPr>
                <w:sz w:val="18"/>
                <w:szCs w:val="18"/>
              </w:rPr>
              <w:t xml:space="preserve">By its format — Ethereum-style and TRON-style addresses have distinct, checkable patterns — with a manual override available if the automatic detection is wrong or ambiguous.</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Where does AI/LLM fit into this system?</w:t>
            </w:r>
          </w:p>
        </w:tc>
        <w:tc>
          <w:tcPr>
            <w:tcW w:type="dxa" w:w="6700"/>
            <w:tcMar>
              <w:top w:type="dxa" w:w="90"/>
              <w:left w:type="dxa" w:w="110"/>
              <w:bottom w:type="dxa" w:w="90"/>
              <w:right w:type="dxa" w:w="110"/>
            </w:tcMar>
            <w:vAlign w:val="center"/>
          </w:tcPr>
          <w:p>
            <w:r>
              <w:rPr>
                <w:sz w:val="18"/>
                <w:szCs w:val="18"/>
              </w:rPr>
              <w:t xml:space="preserve">Only optionally, at the very end, to turn already-verified structured results into plain-language narration for the report. It never touches transaction retrieval, graph construction, path-finding, or VASP matching — all of that is deterministic and reproducible.</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Why keep AI out of the core logic?</w:t>
            </w:r>
          </w:p>
        </w:tc>
        <w:tc>
          <w:tcPr>
            <w:tcW w:type="dxa" w:w="6700"/>
            <w:tcMar>
              <w:top w:type="dxa" w:w="90"/>
              <w:left w:type="dxa" w:w="110"/>
              <w:bottom w:type="dxa" w:w="90"/>
              <w:right w:type="dxa" w:w="110"/>
            </w:tcMar>
            <w:vAlign w:val="center"/>
          </w:tcPr>
          <w:p>
            <w:r>
              <w:rPr>
                <w:sz w:val="18"/>
                <w:szCs w:val="18"/>
              </w:rPr>
              <w:t xml:space="preserve">Because deterministic logic is testable, explainable, and defensible as evidence. An investigator — and a court — can trust 'this rule fired because X' far more than 'the AI said so.'</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 happens if the LLM is given bad instructions or tries to embellish?</w:t>
            </w:r>
          </w:p>
        </w:tc>
        <w:tc>
          <w:tcPr>
            <w:tcW w:type="dxa" w:w="6700"/>
            <w:tcMar>
              <w:top w:type="dxa" w:w="90"/>
              <w:left w:type="dxa" w:w="110"/>
              <w:bottom w:type="dxa" w:w="90"/>
              <w:right w:type="dxa" w:w="110"/>
            </w:tcMar>
            <w:vAlign w:val="center"/>
          </w:tcPr>
          <w:p>
            <w:r>
              <w:rPr>
                <w:sz w:val="18"/>
                <w:szCs w:val="18"/>
              </w:rPr>
              <w:t xml:space="preserve">It is contractually restricted to receive only verified structured JSON and must not invent addresses, hashes, entities, amounts, or identity claims — it can only phrase what's already been established, never add to it.</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What's your tech stack, briefly?</w:t>
            </w:r>
          </w:p>
        </w:tc>
        <w:tc>
          <w:tcPr>
            <w:tcW w:type="dxa" w:w="6700"/>
            <w:tcMar>
              <w:top w:type="dxa" w:w="90"/>
              <w:left w:type="dxa" w:w="110"/>
              <w:bottom w:type="dxa" w:w="90"/>
              <w:right w:type="dxa" w:w="110"/>
            </w:tcMar>
            <w:vAlign w:val="center"/>
          </w:tcPr>
          <w:p>
            <w:r>
              <w:rPr>
                <w:sz w:val="18"/>
                <w:szCs w:val="18"/>
              </w:rPr>
              <w:t xml:space="preserve">React and Cytoscape.js for the frontend graph, Python and FastAPI for the backend, NetworkX for graph analysis, Etherscan and TronScan APIs for chain data, JSON/SQLite for the VASP label store, and ReportLab for PDF generation.</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How do you handle API rate limits or outages during the live demo?</w:t>
            </w:r>
          </w:p>
        </w:tc>
        <w:tc>
          <w:tcPr>
            <w:tcW w:type="dxa" w:w="6700"/>
            <w:tcMar>
              <w:top w:type="dxa" w:w="90"/>
              <w:left w:type="dxa" w:w="110"/>
              <w:bottom w:type="dxa" w:w="90"/>
              <w:right w:type="dxa" w:w="110"/>
            </w:tcMar>
            <w:vAlign w:val="center"/>
          </w:tcPr>
          <w:p>
            <w:r>
              <w:rPr>
                <w:sz w:val="18"/>
                <w:szCs w:val="18"/>
              </w:rPr>
              <w:t xml:space="preserve">We cache the exact demo case in advance and also keep a backup case plus a recorded video, so a live API hiccup doesn't derail the presentation.</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Why FastAPI over, say, Flask or Node?</w:t>
            </w:r>
          </w:p>
        </w:tc>
        <w:tc>
          <w:tcPr>
            <w:tcW w:type="dxa" w:w="6700"/>
            <w:tcMar>
              <w:top w:type="dxa" w:w="90"/>
              <w:left w:type="dxa" w:w="110"/>
              <w:bottom w:type="dxa" w:w="90"/>
              <w:right w:type="dxa" w:w="110"/>
            </w:tcMar>
            <w:vAlign w:val="center"/>
          </w:tcPr>
          <w:p>
            <w:r>
              <w:rPr>
                <w:sz w:val="18"/>
                <w:szCs w:val="18"/>
              </w:rPr>
              <w:t xml:space="preserve">FastAPI gives us fast development speed, built-in request validation, and easy integration with Python's data/graph libraries like NetworkX and Pydantic — a good fit for a short build window.</w:t>
            </w:r>
          </w:p>
        </w:tc>
      </w:tr>
    </w:tbl>
    <w:p>
      <w:pPr>
        <w:pStyle w:val="Heading2"/>
        <w:spacing w:after="110" w:before="240"/>
      </w:pPr>
      <w:r>
        <w:rPr>
          <w:b/>
          <w:bCs/>
          <w:color w:val="1a2332"/>
          <w:sz w:val="23"/>
          <w:szCs w:val="23"/>
        </w:rPr>
        <w:t xml:space="preserve">C. Innovation &amp; Differentiation (22-33)</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300"/>
            <w:shd w:fill="2c3e6b" w:val="clear"/>
            <w:tcMar>
              <w:top w:type="dxa" w:w="80"/>
              <w:left w:type="dxa" w:w="110"/>
              <w:bottom w:type="dxa" w:w="80"/>
              <w:right w:type="dxa" w:w="110"/>
            </w:tcMar>
          </w:tcPr>
          <w:p>
            <w:r>
              <w:rPr>
                <w:b/>
                <w:bCs/>
                <w:color w:val="FFFFFF"/>
                <w:sz w:val="19"/>
                <w:szCs w:val="19"/>
              </w:rPr>
              <w:t xml:space="preserve">Judge question</w:t>
            </w:r>
          </w:p>
        </w:tc>
        <w:tc>
          <w:tcPr>
            <w:tcW w:type="dxa" w:w="6700"/>
            <w:shd w:fill="2c3e6b" w:val="clear"/>
            <w:tcMar>
              <w:top w:type="dxa" w:w="80"/>
              <w:left w:type="dxa" w:w="110"/>
              <w:bottom w:type="dxa" w:w="80"/>
              <w:right w:type="dxa" w:w="110"/>
            </w:tcMar>
          </w:tcPr>
          <w:p>
            <w:r>
              <w:rPr>
                <w:b/>
                <w:bCs/>
                <w:color w:val="FFFFFF"/>
                <w:sz w:val="19"/>
                <w:szCs w:val="19"/>
              </w:rPr>
              <w:t xml:space="preserve">Confident answer</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Isn't this just a blockchain explorer?</w:t>
            </w:r>
          </w:p>
        </w:tc>
        <w:tc>
          <w:tcPr>
            <w:tcW w:type="dxa" w:w="6700"/>
            <w:tcMar>
              <w:top w:type="dxa" w:w="90"/>
              <w:left w:type="dxa" w:w="110"/>
              <w:bottom w:type="dxa" w:w="90"/>
              <w:right w:type="dxa" w:w="110"/>
            </w:tcMar>
            <w:vAlign w:val="center"/>
          </w:tcPr>
          <w:p>
            <w:r>
              <w:rPr>
                <w:sz w:val="18"/>
                <w:szCs w:val="18"/>
              </w:rPr>
              <w:t xml:space="preserve">An explorer shows raw transaction data one screen at a time. We automate the full investigator workflow — retrieve, trace, match a supported VASP, explain the confidence behind it, and generate a report — in one pass instead of many manual steps.</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Doesn't Chainalysis/Elliptic/TRM already do this?</w:t>
            </w:r>
          </w:p>
        </w:tc>
        <w:tc>
          <w:tcPr>
            <w:tcW w:type="dxa" w:w="6700"/>
            <w:tcMar>
              <w:top w:type="dxa" w:w="90"/>
              <w:left w:type="dxa" w:w="110"/>
              <w:bottom w:type="dxa" w:w="90"/>
              <w:right w:type="dxa" w:w="110"/>
            </w:tcMar>
            <w:vAlign w:val="center"/>
          </w:tcPr>
          <w:p>
            <w:r>
              <w:rPr>
                <w:sz w:val="18"/>
                <w:szCs w:val="18"/>
              </w:rPr>
              <w:t xml:space="preserve">Yes, and we say so directly — those are powerful, mature commercial platforms. We are not replacing them. Our contribution is a narrow, transparent, explainable workflow that a resource-constrained team or a smaller cyber cell could realistically build on and audit.</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Why would an investigator use this instead of just opening Etherscan?</w:t>
            </w:r>
          </w:p>
        </w:tc>
        <w:tc>
          <w:tcPr>
            <w:tcW w:type="dxa" w:w="6700"/>
            <w:tcMar>
              <w:top w:type="dxa" w:w="90"/>
              <w:left w:type="dxa" w:w="110"/>
              <w:bottom w:type="dxa" w:w="90"/>
              <w:right w:type="dxa" w:w="110"/>
            </w:tcMar>
            <w:vAlign w:val="center"/>
          </w:tcPr>
          <w:p>
            <w:r>
              <w:rPr>
                <w:sz w:val="18"/>
                <w:szCs w:val="18"/>
              </w:rPr>
              <w:t xml:space="preserve">Because Etherscan gives raw data one transaction at a time with no bounded automatic tracing, no VASP matching, no risk flags, and no report generation — this tool removes the repetitive tab-hopping and documentation work.</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 is your single strongest differentiation statement?</w:t>
            </w:r>
          </w:p>
        </w:tc>
        <w:tc>
          <w:tcPr>
            <w:tcW w:type="dxa" w:w="6700"/>
            <w:tcMar>
              <w:top w:type="dxa" w:w="90"/>
              <w:left w:type="dxa" w:w="110"/>
              <w:bottom w:type="dxa" w:w="90"/>
              <w:right w:type="dxa" w:w="110"/>
            </w:tcMar>
            <w:vAlign w:val="center"/>
          </w:tcPr>
          <w:p>
            <w:r>
              <w:rPr>
                <w:sz w:val="18"/>
                <w:szCs w:val="18"/>
              </w:rPr>
              <w:t xml:space="preserve">Unlike a generic explorer, this turns one reported wallet into a bounded, evidence-linked investigation: trace, identify a supported VASP, explain the confidence, generate a structured report — end to end, in one workflow.</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Are you claiming to have invented blockchain tracing?</w:t>
            </w:r>
          </w:p>
        </w:tc>
        <w:tc>
          <w:tcPr>
            <w:tcW w:type="dxa" w:w="6700"/>
            <w:tcMar>
              <w:top w:type="dxa" w:w="90"/>
              <w:left w:type="dxa" w:w="110"/>
              <w:bottom w:type="dxa" w:w="90"/>
              <w:right w:type="dxa" w:w="110"/>
            </w:tcMar>
            <w:vAlign w:val="center"/>
          </w:tcPr>
          <w:p>
            <w:r>
              <w:rPr>
                <w:sz w:val="18"/>
                <w:szCs w:val="18"/>
              </w:rPr>
              <w:t xml:space="preserve">No — that would be false. Transaction retrieval, graph visualisation, and address labelling all already exist in various tools. Our value is the focused, transparent, India-context investigator workflow around them, not the individual components.</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What's genuinely novel versus what's assembled from existing pieces?</w:t>
            </w:r>
          </w:p>
        </w:tc>
        <w:tc>
          <w:tcPr>
            <w:tcW w:type="dxa" w:w="6700"/>
            <w:tcMar>
              <w:top w:type="dxa" w:w="90"/>
              <w:left w:type="dxa" w:w="110"/>
              <w:bottom w:type="dxa" w:w="90"/>
              <w:right w:type="dxa" w:w="110"/>
            </w:tcMar>
            <w:vAlign w:val="center"/>
          </w:tcPr>
          <w:p>
            <w:r>
              <w:rPr>
                <w:sz w:val="18"/>
                <w:szCs w:val="18"/>
              </w:rPr>
              <w:t xml:space="preserve">Almost every individual component (API calls, graph traversal, PDF generation) is a known technique. What's assembled newly is the specific, bounded, confidence-transparent pipeline shaped for this exact victim-to-VASP investigator use case.</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Why is 'we used AI' not your headline pitch?</w:t>
            </w:r>
          </w:p>
        </w:tc>
        <w:tc>
          <w:tcPr>
            <w:tcW w:type="dxa" w:w="6700"/>
            <w:tcMar>
              <w:top w:type="dxa" w:w="90"/>
              <w:left w:type="dxa" w:w="110"/>
              <w:bottom w:type="dxa" w:w="90"/>
              <w:right w:type="dxa" w:w="110"/>
            </w:tcMar>
            <w:vAlign w:val="center"/>
          </w:tcPr>
          <w:p>
            <w:r>
              <w:rPr>
                <w:sz w:val="18"/>
                <w:szCs w:val="18"/>
              </w:rPr>
              <w:t xml:space="preserve">Because the core evidence path is deterministic and doesn't need AI to work or to be trusted — leading with 'AI' would actually undersell a more defensible, testable design, and could invite doubt about explainability.</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 would make a judge remember your project over ten similar ones?</w:t>
            </w:r>
          </w:p>
        </w:tc>
        <w:tc>
          <w:tcPr>
            <w:tcW w:type="dxa" w:w="6700"/>
            <w:tcMar>
              <w:top w:type="dxa" w:w="90"/>
              <w:left w:type="dxa" w:w="110"/>
              <w:bottom w:type="dxa" w:w="90"/>
              <w:right w:type="dxa" w:w="110"/>
            </w:tcMar>
            <w:vAlign w:val="center"/>
          </w:tcPr>
          <w:p>
            <w:r>
              <w:rPr>
                <w:sz w:val="18"/>
                <w:szCs w:val="18"/>
              </w:rPr>
              <w:t xml:space="preserve">The discipline of never overclaiming: every single output states its method and confidence, unknown results are shown as UNKNOWN rather than guessed, and every claim in our pitch is something we can actually demonstrate live.</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If everyone can access Etherscan and TronScan, what stops any team from copying this?</w:t>
            </w:r>
          </w:p>
        </w:tc>
        <w:tc>
          <w:tcPr>
            <w:tcW w:type="dxa" w:w="6700"/>
            <w:tcMar>
              <w:top w:type="dxa" w:w="90"/>
              <w:left w:type="dxa" w:w="110"/>
              <w:bottom w:type="dxa" w:w="90"/>
              <w:right w:type="dxa" w:w="110"/>
            </w:tcMar>
            <w:vAlign w:val="center"/>
          </w:tcPr>
          <w:p>
            <w:r>
              <w:rPr>
                <w:sz w:val="18"/>
                <w:szCs w:val="18"/>
              </w:rPr>
              <w:t xml:space="preserve">Nothing stops the general idea from being copied — but the specific, careful design decisions here (bounded hops, source-dated labels, confidence-tiered attribution, honest UNKNOWN handling) are the actual engineering discipline, not the raw APIs.</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Have you benchmarked against any existing free/open-source tool like GraphSense or Breadcrumbs?</w:t>
            </w:r>
          </w:p>
        </w:tc>
        <w:tc>
          <w:tcPr>
            <w:tcW w:type="dxa" w:w="6700"/>
            <w:tcMar>
              <w:top w:type="dxa" w:w="90"/>
              <w:left w:type="dxa" w:w="110"/>
              <w:bottom w:type="dxa" w:w="90"/>
              <w:right w:type="dxa" w:w="110"/>
            </w:tcMar>
            <w:vAlign w:val="center"/>
          </w:tcPr>
          <w:p>
            <w:r>
              <w:rPr>
                <w:sz w:val="18"/>
                <w:szCs w:val="18"/>
              </w:rPr>
              <w:t xml:space="preserve">Those tools provide graph-analysis building blocks, similar to what we use internally — our differentiation is not out-innovating their graph engine, it's the focused, investigator-first, VASP-oriented workflow wrapped around that core capability.</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Is your innovation in the algorithm or the workflow?</w:t>
            </w:r>
          </w:p>
        </w:tc>
        <w:tc>
          <w:tcPr>
            <w:tcW w:type="dxa" w:w="6700"/>
            <w:tcMar>
              <w:top w:type="dxa" w:w="90"/>
              <w:left w:type="dxa" w:w="110"/>
              <w:bottom w:type="dxa" w:w="90"/>
              <w:right w:type="dxa" w:w="110"/>
            </w:tcMar>
            <w:vAlign w:val="center"/>
          </w:tcPr>
          <w:p>
            <w:r>
              <w:rPr>
                <w:sz w:val="18"/>
                <w:szCs w:val="18"/>
              </w:rPr>
              <w:t xml:space="preserve">The workflow. The underlying algorithms (bounded BFS/DFS traversal, exact-match lookups, rule-based heuristics) are standard and intentionally kept simple and explainable rather than exotic.</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What's the one sentence you'd want a judge to remember?</w:t>
            </w:r>
          </w:p>
        </w:tc>
        <w:tc>
          <w:tcPr>
            <w:tcW w:type="dxa" w:w="6700"/>
            <w:tcMar>
              <w:top w:type="dxa" w:w="90"/>
              <w:left w:type="dxa" w:w="110"/>
              <w:bottom w:type="dxa" w:w="90"/>
              <w:right w:type="dxa" w:w="110"/>
            </w:tcMar>
            <w:vAlign w:val="center"/>
          </w:tcPr>
          <w:p>
            <w:r>
              <w:rPr>
                <w:sz w:val="18"/>
                <w:szCs w:val="18"/>
              </w:rPr>
              <w:t xml:space="preserve">We turn a single victim-reported wallet into a bounded, evidence-linked, confidence-scored investigation report — not a bigger blockchain explorer, but a focused investigator tool.</w:t>
            </w:r>
          </w:p>
        </w:tc>
      </w:tr>
    </w:tbl>
    <w:p>
      <w:pPr>
        <w:pStyle w:val="Heading2"/>
        <w:spacing w:after="110" w:before="240"/>
      </w:pPr>
      <w:r>
        <w:rPr>
          <w:b/>
          <w:bCs/>
          <w:color w:val="1a2332"/>
          <w:sz w:val="23"/>
          <w:szCs w:val="23"/>
        </w:rPr>
        <w:t xml:space="preserve">D. Data, Privacy, Legal &amp; Ethics (34-42)</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300"/>
            <w:shd w:fill="2c3e6b" w:val="clear"/>
            <w:tcMar>
              <w:top w:type="dxa" w:w="80"/>
              <w:left w:type="dxa" w:w="110"/>
              <w:bottom w:type="dxa" w:w="80"/>
              <w:right w:type="dxa" w:w="110"/>
            </w:tcMar>
          </w:tcPr>
          <w:p>
            <w:r>
              <w:rPr>
                <w:b/>
                <w:bCs/>
                <w:color w:val="FFFFFF"/>
                <w:sz w:val="19"/>
                <w:szCs w:val="19"/>
              </w:rPr>
              <w:t xml:space="preserve">Judge question</w:t>
            </w:r>
          </w:p>
        </w:tc>
        <w:tc>
          <w:tcPr>
            <w:tcW w:type="dxa" w:w="6700"/>
            <w:shd w:fill="2c3e6b" w:val="clear"/>
            <w:tcMar>
              <w:top w:type="dxa" w:w="80"/>
              <w:left w:type="dxa" w:w="110"/>
              <w:bottom w:type="dxa" w:w="80"/>
              <w:right w:type="dxa" w:w="110"/>
            </w:tcMar>
          </w:tcPr>
          <w:p>
            <w:r>
              <w:rPr>
                <w:b/>
                <w:bCs/>
                <w:color w:val="FFFFFF"/>
                <w:sz w:val="19"/>
                <w:szCs w:val="19"/>
              </w:rPr>
              <w:t xml:space="preserve">Confident answer</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Where does your data come from?</w:t>
            </w:r>
          </w:p>
        </w:tc>
        <w:tc>
          <w:tcPr>
            <w:tcW w:type="dxa" w:w="6700"/>
            <w:tcMar>
              <w:top w:type="dxa" w:w="90"/>
              <w:left w:type="dxa" w:w="110"/>
              <w:bottom w:type="dxa" w:w="90"/>
              <w:right w:type="dxa" w:w="110"/>
            </w:tcMar>
            <w:vAlign w:val="center"/>
          </w:tcPr>
          <w:p>
            <w:r>
              <w:rPr>
                <w:sz w:val="18"/>
                <w:szCs w:val="18"/>
              </w:rPr>
              <w:t xml:space="preserve">Entirely public sources: blockchain APIs (Etherscan, TronScan) and publicly available, source-labelled address datasets. Nothing from private government or exchange systems.</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Do you use any private NCRP or I4C complaint data?</w:t>
            </w:r>
          </w:p>
        </w:tc>
        <w:tc>
          <w:tcPr>
            <w:tcW w:type="dxa" w:w="6700"/>
            <w:tcMar>
              <w:top w:type="dxa" w:w="90"/>
              <w:left w:type="dxa" w:w="110"/>
              <w:bottom w:type="dxa" w:w="90"/>
              <w:right w:type="dxa" w:w="110"/>
            </w:tcMar>
            <w:vAlign w:val="center"/>
          </w:tcPr>
          <w:p>
            <w:r>
              <w:rPr>
                <w:sz w:val="18"/>
                <w:szCs w:val="18"/>
              </w:rPr>
              <w:t xml:space="preserve">No. The prototype does not require or use private complaint data, private exchange KYC records, or any government-only API — everything demonstrated runs on public data.</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Is any of your demo data synthetic, and is that a problem?</w:t>
            </w:r>
          </w:p>
        </w:tc>
        <w:tc>
          <w:tcPr>
            <w:tcW w:type="dxa" w:w="6700"/>
            <w:tcMar>
              <w:top w:type="dxa" w:w="90"/>
              <w:left w:type="dxa" w:w="110"/>
              <w:bottom w:type="dxa" w:w="90"/>
              <w:right w:type="dxa" w:w="110"/>
            </w:tcMar>
            <w:vAlign w:val="center"/>
          </w:tcPr>
          <w:p>
            <w:r>
              <w:rPr>
                <w:sz w:val="18"/>
                <w:szCs w:val="18"/>
              </w:rPr>
              <w:t xml:space="preserve">Where public ground truth isn't available for a specific illustrative feature, we use clearly labelled synthetic data for UI demonstration only — we never present synthetic data as a real, verified case.</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Can your system reveal who owns a wallet?</w:t>
            </w:r>
          </w:p>
        </w:tc>
        <w:tc>
          <w:tcPr>
            <w:tcW w:type="dxa" w:w="6700"/>
            <w:tcMar>
              <w:top w:type="dxa" w:w="90"/>
              <w:left w:type="dxa" w:w="110"/>
              <w:bottom w:type="dxa" w:w="90"/>
              <w:right w:type="dxa" w:w="110"/>
            </w:tcMar>
            <w:vAlign w:val="center"/>
          </w:tcPr>
          <w:p>
            <w:r>
              <w:rPr>
                <w:sz w:val="18"/>
                <w:szCs w:val="18"/>
              </w:rPr>
              <w:t xml:space="preserve">No. Public blockchain data cannot reveal a real name, phone number, or government ID — only a formal legal request to a regulated exchange, using its private KYC records, can do that, and that step is outside our system by design.</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Could this tool be misused to falsely accuse someone?</w:t>
            </w:r>
          </w:p>
        </w:tc>
        <w:tc>
          <w:tcPr>
            <w:tcW w:type="dxa" w:w="6700"/>
            <w:tcMar>
              <w:top w:type="dxa" w:w="90"/>
              <w:left w:type="dxa" w:w="110"/>
              <w:bottom w:type="dxa" w:w="90"/>
              <w:right w:type="dxa" w:w="110"/>
            </w:tcMar>
            <w:vAlign w:val="center"/>
          </w:tcPr>
          <w:p>
            <w:r>
              <w:rPr>
                <w:sz w:val="18"/>
                <w:szCs w:val="18"/>
              </w:rPr>
              <w:t xml:space="preserve">Every output is explicitly labelled as an investigative lead, not proof, with its confidence and underlying rule shown — the design requires human review before any legal action, precisely to prevent heuristic flags being mistaken for accusations.</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Is this legally admissible evidence?</w:t>
            </w:r>
          </w:p>
        </w:tc>
        <w:tc>
          <w:tcPr>
            <w:tcW w:type="dxa" w:w="6700"/>
            <w:tcMar>
              <w:top w:type="dxa" w:w="90"/>
              <w:left w:type="dxa" w:w="110"/>
              <w:bottom w:type="dxa" w:w="90"/>
              <w:right w:type="dxa" w:w="110"/>
            </w:tcMar>
            <w:vAlign w:val="center"/>
          </w:tcPr>
          <w:p>
            <w:r>
              <w:rPr>
                <w:sz w:val="18"/>
                <w:szCs w:val="18"/>
              </w:rPr>
              <w:t xml:space="preserve">We don't claim that. It produces evidence-linked leads (transaction hashes, paths, timestamps) that can support an investigator's formal legal or compliance process — admissibility itself is a legal determination outside the prototype's scope.</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 about data protection/privacy concerns with wallet tracing?</w:t>
            </w:r>
          </w:p>
        </w:tc>
        <w:tc>
          <w:tcPr>
            <w:tcW w:type="dxa" w:w="6700"/>
            <w:tcMar>
              <w:top w:type="dxa" w:w="90"/>
              <w:left w:type="dxa" w:w="110"/>
              <w:bottom w:type="dxa" w:w="90"/>
              <w:right w:type="dxa" w:w="110"/>
            </w:tcMar>
            <w:vAlign w:val="center"/>
          </w:tcPr>
          <w:p>
            <w:r>
              <w:rPr>
                <w:sz w:val="18"/>
                <w:szCs w:val="18"/>
              </w:rPr>
              <w:t xml:space="preserve">Wallet addresses and their public transactions are, by blockchain design, already public information — we are not exposing anything that isn't already visible to anyone using a block explorer.</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Do you have permission to use the Etherscan/TronScan APIs this way?</w:t>
            </w:r>
          </w:p>
        </w:tc>
        <w:tc>
          <w:tcPr>
            <w:tcW w:type="dxa" w:w="6700"/>
            <w:tcMar>
              <w:top w:type="dxa" w:w="90"/>
              <w:left w:type="dxa" w:w="110"/>
              <w:bottom w:type="dxa" w:w="90"/>
              <w:right w:type="dxa" w:w="110"/>
            </w:tcMar>
            <w:vAlign w:val="center"/>
          </w:tcPr>
          <w:p>
            <w:r>
              <w:rPr>
                <w:sz w:val="18"/>
                <w:szCs w:val="18"/>
              </w:rPr>
              <w:t xml:space="preserve">Both offer public, documented APIs with free tiers intended for exactly this kind of transaction lookup — we use them within their published terms, which we would re-verify before any real deployment.</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 happens to victim data your system might handle?</w:t>
            </w:r>
          </w:p>
        </w:tc>
        <w:tc>
          <w:tcPr>
            <w:tcW w:type="dxa" w:w="6700"/>
            <w:tcMar>
              <w:top w:type="dxa" w:w="90"/>
              <w:left w:type="dxa" w:w="110"/>
              <w:bottom w:type="dxa" w:w="90"/>
              <w:right w:type="dxa" w:w="110"/>
            </w:tcMar>
            <w:vAlign w:val="center"/>
          </w:tcPr>
          <w:p>
            <w:r>
              <w:rPr>
                <w:sz w:val="18"/>
                <w:szCs w:val="18"/>
              </w:rPr>
              <w:t xml:space="preserve">In the current MVP scope, the only input is a wallet address itself — no victim personal data (name, phone, bank details) is collected or stored by the prototype.</w:t>
            </w:r>
          </w:p>
        </w:tc>
      </w:tr>
    </w:tbl>
    <w:p>
      <w:pPr>
        <w:pStyle w:val="Heading2"/>
        <w:spacing w:after="110" w:before="240"/>
      </w:pPr>
      <w:r>
        <w:rPr>
          <w:b/>
          <w:bCs/>
          <w:color w:val="1a2332"/>
          <w:sz w:val="23"/>
          <w:szCs w:val="23"/>
        </w:rPr>
        <w:t xml:space="preserve">E. Limitations &amp; Edge Cases (43-50)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300"/>
            <w:shd w:fill="2c3e6b" w:val="clear"/>
            <w:tcMar>
              <w:top w:type="dxa" w:w="80"/>
              <w:left w:type="dxa" w:w="110"/>
              <w:bottom w:type="dxa" w:w="80"/>
              <w:right w:type="dxa" w:w="110"/>
            </w:tcMar>
          </w:tcPr>
          <w:p>
            <w:r>
              <w:rPr>
                <w:b/>
                <w:bCs/>
                <w:color w:val="FFFFFF"/>
                <w:sz w:val="19"/>
                <w:szCs w:val="19"/>
              </w:rPr>
              <w:t xml:space="preserve">Judge question</w:t>
            </w:r>
          </w:p>
        </w:tc>
        <w:tc>
          <w:tcPr>
            <w:tcW w:type="dxa" w:w="6700"/>
            <w:shd w:fill="2c3e6b" w:val="clear"/>
            <w:tcMar>
              <w:top w:type="dxa" w:w="80"/>
              <w:left w:type="dxa" w:w="110"/>
              <w:bottom w:type="dxa" w:w="80"/>
              <w:right w:type="dxa" w:w="110"/>
            </w:tcMar>
          </w:tcPr>
          <w:p>
            <w:r>
              <w:rPr>
                <w:b/>
                <w:bCs/>
                <w:color w:val="FFFFFF"/>
                <w:sz w:val="19"/>
                <w:szCs w:val="19"/>
              </w:rPr>
              <w:t xml:space="preserve">Confident answer</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 happens if the destination address isn't a known VASP?</w:t>
            </w:r>
          </w:p>
        </w:tc>
        <w:tc>
          <w:tcPr>
            <w:tcW w:type="dxa" w:w="6700"/>
            <w:tcMar>
              <w:top w:type="dxa" w:w="90"/>
              <w:left w:type="dxa" w:w="110"/>
              <w:bottom w:type="dxa" w:w="90"/>
              <w:right w:type="dxa" w:w="110"/>
            </w:tcMar>
            <w:vAlign w:val="center"/>
          </w:tcPr>
          <w:p>
            <w:r>
              <w:rPr>
                <w:sz w:val="18"/>
                <w:szCs w:val="18"/>
              </w:rPr>
              <w:t xml:space="preserve">The system shows UNKNOWN rather than guessing, while still displaying the transaction path and any transparent behavioural indicators — honesty about the limitation is itself part of the design.</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 about mixers or tumblers?</w:t>
            </w:r>
          </w:p>
        </w:tc>
        <w:tc>
          <w:tcPr>
            <w:tcW w:type="dxa" w:w="6700"/>
            <w:tcMar>
              <w:top w:type="dxa" w:w="90"/>
              <w:left w:type="dxa" w:w="110"/>
              <w:bottom w:type="dxa" w:w="90"/>
              <w:right w:type="dxa" w:w="110"/>
            </w:tcMar>
            <w:vAlign w:val="center"/>
          </w:tcPr>
          <w:p>
            <w:r>
              <w:rPr>
                <w:sz w:val="18"/>
                <w:szCs w:val="18"/>
              </w:rPr>
              <w:t xml:space="preserve">We detect and flag known mixer interaction and stop or branch the trace there rather than fabricating a path through it — full mixer de-anonymisation is explicitly out of scope and stated as a roadmap item, not a claimed capability.</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 about cross-chain bridges?</w:t>
            </w:r>
          </w:p>
        </w:tc>
        <w:tc>
          <w:tcPr>
            <w:tcW w:type="dxa" w:w="6700"/>
            <w:tcMar>
              <w:top w:type="dxa" w:w="90"/>
              <w:left w:type="dxa" w:w="110"/>
              <w:bottom w:type="dxa" w:w="90"/>
              <w:right w:type="dxa" w:w="110"/>
            </w:tcMar>
            <w:vAlign w:val="center"/>
          </w:tcPr>
          <w:p>
            <w:r>
              <w:rPr>
                <w:sz w:val="18"/>
                <w:szCs w:val="18"/>
              </w:rPr>
              <w:t xml:space="preserve">Similarly, we flag the bridge boundary and the destination chain when observable, but full cross-chain continuation is a future capability, not something the MVP claims to solve.</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 if your heuristic flags an innocent wallet?</w:t>
            </w:r>
          </w:p>
        </w:tc>
        <w:tc>
          <w:tcPr>
            <w:tcW w:type="dxa" w:w="6700"/>
            <w:tcMar>
              <w:top w:type="dxa" w:w="90"/>
              <w:left w:type="dxa" w:w="110"/>
              <w:bottom w:type="dxa" w:w="90"/>
              <w:right w:type="dxa" w:w="110"/>
            </w:tcMar>
            <w:vAlign w:val="center"/>
          </w:tcPr>
          <w:p>
            <w:r>
              <w:rPr>
                <w:sz w:val="18"/>
                <w:szCs w:val="18"/>
              </w:rPr>
              <w:t xml:space="preserve">Every flag shows its triggering rule and confidence level explicitly and is presented as a lead requiring human review, never as an automatic accusation — this is a deliberate false-positive safeguard.</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 if the blockchain API is down during judging?</w:t>
            </w:r>
          </w:p>
        </w:tc>
        <w:tc>
          <w:tcPr>
            <w:tcW w:type="dxa" w:w="6700"/>
            <w:tcMar>
              <w:top w:type="dxa" w:w="90"/>
              <w:left w:type="dxa" w:w="110"/>
              <w:bottom w:type="dxa" w:w="90"/>
              <w:right w:type="dxa" w:w="110"/>
            </w:tcMar>
            <w:vAlign w:val="center"/>
          </w:tcPr>
          <w:p>
            <w:r>
              <w:rPr>
                <w:sz w:val="18"/>
                <w:szCs w:val="18"/>
              </w:rPr>
              <w:t xml:space="preserve">We rely on a pre-cached, tested demo case specifically to avoid this dependency during live evaluation, with a backup case and recorded video as a second fallback.</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How do you know your VASP labels are current?</w:t>
            </w:r>
          </w:p>
        </w:tc>
        <w:tc>
          <w:tcPr>
            <w:tcW w:type="dxa" w:w="6700"/>
            <w:tcMar>
              <w:top w:type="dxa" w:w="90"/>
              <w:left w:type="dxa" w:w="110"/>
              <w:bottom w:type="dxa" w:w="90"/>
              <w:right w:type="dxa" w:w="110"/>
            </w:tcMar>
            <w:vAlign w:val="center"/>
          </w:tcPr>
          <w:p>
            <w:r>
              <w:rPr>
                <w:sz w:val="18"/>
                <w:szCs w:val="18"/>
              </w:rPr>
              <w:t xml:space="preserve">Every label entry stores its source and date; we treat this as a known limitation — labels can go stale, and we're transparent about that rather than presenting the dataset as complete or permanently accurate.</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What's the biggest technical weakness you'd admit to a judge?</w:t>
            </w:r>
          </w:p>
        </w:tc>
        <w:tc>
          <w:tcPr>
            <w:tcW w:type="dxa" w:w="6700"/>
            <w:tcMar>
              <w:top w:type="dxa" w:w="90"/>
              <w:left w:type="dxa" w:w="110"/>
              <w:bottom w:type="dxa" w:w="90"/>
              <w:right w:type="dxa" w:w="110"/>
            </w:tcMar>
            <w:vAlign w:val="center"/>
          </w:tcPr>
          <w:p>
            <w:r>
              <w:rPr>
                <w:sz w:val="18"/>
                <w:szCs w:val="18"/>
              </w:rPr>
              <w:t xml:space="preserve">Label coverage is small compared to commercial intelligence providers, so a meaningful share of real-world addresses will show as UNKNOWN rather than attributed — we see this as an honest constraint of a source-labelled, transparent MVP, not a hidden flaw.</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Could a fraudster defeat this system easily?</w:t>
            </w:r>
          </w:p>
        </w:tc>
        <w:tc>
          <w:tcPr>
            <w:tcW w:type="dxa" w:w="6700"/>
            <w:tcMar>
              <w:top w:type="dxa" w:w="90"/>
              <w:left w:type="dxa" w:w="110"/>
              <w:bottom w:type="dxa" w:w="90"/>
              <w:right w:type="dxa" w:w="110"/>
            </w:tcMar>
            <w:vAlign w:val="center"/>
          </w:tcPr>
          <w:p>
            <w:r>
              <w:rPr>
                <w:sz w:val="18"/>
                <w:szCs w:val="18"/>
              </w:rPr>
              <w:t xml:space="preserve">Yes, in the sense that mixers, cross-chain bridges, and privacy coins can all break or complicate a trace — we don't claim otherwise, and we explicitly show where reliable tracing ends rather than fabricating false confidence.</w:t>
            </w:r>
          </w:p>
        </w:tc>
      </w:tr>
    </w:tbl>
    <w:p>
      <w:pPr>
        <w:pStyle w:val="Heading2"/>
        <w:spacing w:after="110" w:before="240"/>
      </w:pPr>
      <w:r>
        <w:rPr>
          <w:b/>
          <w:bCs/>
          <w:color w:val="1a2332"/>
          <w:sz w:val="23"/>
          <w:szCs w:val="23"/>
        </w:rPr>
        <w:t xml:space="preserve">F. Demo &amp; Validation (51-55)</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300"/>
            <w:shd w:fill="2c3e6b" w:val="clear"/>
            <w:tcMar>
              <w:top w:type="dxa" w:w="80"/>
              <w:left w:type="dxa" w:w="110"/>
              <w:bottom w:type="dxa" w:w="80"/>
              <w:right w:type="dxa" w:w="110"/>
            </w:tcMar>
          </w:tcPr>
          <w:p>
            <w:r>
              <w:rPr>
                <w:b/>
                <w:bCs/>
                <w:color w:val="FFFFFF"/>
                <w:sz w:val="19"/>
                <w:szCs w:val="19"/>
              </w:rPr>
              <w:t xml:space="preserve">Judge question</w:t>
            </w:r>
          </w:p>
        </w:tc>
        <w:tc>
          <w:tcPr>
            <w:tcW w:type="dxa" w:w="6700"/>
            <w:shd w:fill="2c3e6b" w:val="clear"/>
            <w:tcMar>
              <w:top w:type="dxa" w:w="80"/>
              <w:left w:type="dxa" w:w="110"/>
              <w:bottom w:type="dxa" w:w="80"/>
              <w:right w:type="dxa" w:w="110"/>
            </w:tcMar>
          </w:tcPr>
          <w:p>
            <w:r>
              <w:rPr>
                <w:b/>
                <w:bCs/>
                <w:color w:val="FFFFFF"/>
                <w:sz w:val="19"/>
                <w:szCs w:val="19"/>
              </w:rPr>
              <w:t xml:space="preserve">Confident answer</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How did you validate that your system works correctly?</w:t>
            </w:r>
          </w:p>
        </w:tc>
        <w:tc>
          <w:tcPr>
            <w:tcW w:type="dxa" w:w="6700"/>
            <w:tcMar>
              <w:top w:type="dxa" w:w="90"/>
              <w:left w:type="dxa" w:w="110"/>
              <w:bottom w:type="dxa" w:w="90"/>
              <w:right w:type="dxa" w:w="110"/>
            </w:tcMar>
            <w:vAlign w:val="center"/>
          </w:tcPr>
          <w:p>
            <w:r>
              <w:rPr>
                <w:sz w:val="18"/>
                <w:szCs w:val="18"/>
              </w:rPr>
              <w:t xml:space="preserve">We use publicly documented cases with independently verifiable transaction data, compare our reconstructed path against that public record, and report the actual observed retrieval, graph-generation, and matching performance rather than inventing figures.</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Can you show me the exact accuracy of your VASP matching?</w:t>
            </w:r>
          </w:p>
        </w:tc>
        <w:tc>
          <w:tcPr>
            <w:tcW w:type="dxa" w:w="6700"/>
            <w:tcMar>
              <w:top w:type="dxa" w:w="90"/>
              <w:left w:type="dxa" w:w="110"/>
              <w:bottom w:type="dxa" w:w="90"/>
              <w:right w:type="dxa" w:w="110"/>
            </w:tcMar>
            <w:vAlign w:val="center"/>
          </w:tcPr>
          <w:p>
            <w:r>
              <w:rPr>
                <w:sz w:val="18"/>
                <w:szCs w:val="18"/>
              </w:rPr>
              <w:t xml:space="preserve">We report the number of cases tested, exact matches found, and honest coverage against our labelled dataset — we do not claim a percentage like 90% accuracy unless it comes from an actual measured test set.</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Why did you cache your demo case instead of running it fully live?</w:t>
            </w:r>
          </w:p>
        </w:tc>
        <w:tc>
          <w:tcPr>
            <w:tcW w:type="dxa" w:w="6700"/>
            <w:tcMar>
              <w:top w:type="dxa" w:w="90"/>
              <w:left w:type="dxa" w:w="110"/>
              <w:bottom w:type="dxa" w:w="90"/>
              <w:right w:type="dxa" w:w="110"/>
            </w:tcMar>
            <w:vAlign w:val="center"/>
          </w:tcPr>
          <w:p>
            <w:r>
              <w:rPr>
                <w:sz w:val="18"/>
                <w:szCs w:val="18"/>
              </w:rPr>
              <w:t xml:space="preserve">To make the demo reproducible and immune to external API rate limits or outages during evaluation — the live API pathway is tested separately, and we can show that too if asked.</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What would you build next if you had more time?</w:t>
            </w:r>
          </w:p>
        </w:tc>
        <w:tc>
          <w:tcPr>
            <w:tcW w:type="dxa" w:w="6700"/>
            <w:tcMar>
              <w:top w:type="dxa" w:w="90"/>
              <w:left w:type="dxa" w:w="110"/>
              <w:bottom w:type="dxa" w:w="90"/>
              <w:right w:type="dxa" w:w="110"/>
            </w:tcMar>
            <w:vAlign w:val="center"/>
          </w:tcPr>
          <w:p>
            <w:r>
              <w:rPr>
                <w:sz w:val="18"/>
                <w:szCs w:val="18"/>
              </w:rPr>
              <w:t xml:space="preserve">In order: broader VASP label coverage, BNB Smart Chain support, formal NCRP/I4C integration (which needs official cooperation and security review), and eventually ML-based entity clustering and cross-chain analytics — all explicitly future phases, not current claims.</w:t>
            </w:r>
          </w:p>
        </w:tc>
      </w:tr>
      <w:tr>
        <w:tc>
          <w:tcPr>
            <w:tcW w:type="dxa" w:w="3300"/>
            <w:shd w:fill="f2f4f8" w:val="clear"/>
            <w:tcMar>
              <w:top w:type="dxa" w:w="90"/>
              <w:left w:type="dxa" w:w="110"/>
              <w:bottom w:type="dxa" w:w="90"/>
              <w:right w:type="dxa" w:w="110"/>
            </w:tcMar>
            <w:vAlign w:val="center"/>
          </w:tcPr>
          <w:p>
            <w:r>
              <w:rPr>
                <w:b/>
                <w:bCs/>
                <w:color w:val="1a2332"/>
                <w:sz w:val="18"/>
                <w:szCs w:val="18"/>
              </w:rPr>
              <w:t xml:space="preserve">If your system gives a wrong result, what happens?</w:t>
            </w:r>
          </w:p>
        </w:tc>
        <w:tc>
          <w:tcPr>
            <w:tcW w:type="dxa" w:w="6700"/>
            <w:tcMar>
              <w:top w:type="dxa" w:w="90"/>
              <w:left w:type="dxa" w:w="110"/>
              <w:bottom w:type="dxa" w:w="90"/>
              <w:right w:type="dxa" w:w="110"/>
            </w:tcMar>
            <w:vAlign w:val="center"/>
          </w:tcPr>
          <w:p>
            <w:r>
              <w:rPr>
                <w:sz w:val="18"/>
                <w:szCs w:val="18"/>
              </w:rPr>
              <w:t xml:space="preserve">It remains an investigative aid — every output carries its source and confidence, and requires human review before any legal step is taken. We are not claiming automated prosecution or infallibility anywhere in the system.</w:t>
            </w:r>
          </w:p>
        </w:tc>
      </w:tr>
    </w:tbl>
    <w:p>
      <w:pPr>
        <w:pBdr>
          <w:top w:val="single" w:color="cccccc" w:sz="4"/>
        </w:pBdr>
        <w:spacing w:before="300"/>
      </w:pPr>
    </w:p>
    <w:p>
      <w:pPr>
        <w:spacing w:before="200"/>
      </w:pPr>
      <w:r>
        <w:rPr>
          <w:i/>
          <w:iCs/>
          <w:color w:val="555555"/>
          <w:sz w:val="17"/>
          <w:szCs w:val="17"/>
        </w:rPr>
        <w:t xml:space="preserve">Team practice reference — CryptoTrace I4C, SIH 2026, SIH26183. Rehearse answers in your own words.</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2026-08-29T03:34:27.813Z</dcterms:created>
  <dcterms:modified xsi:type="dcterms:W3CDTF">2026-08-29T03:34:27.830Z</dcterms:modified>
</cp:coreProperties>
</file>

<file path=docProps/custom.xml><?xml version="1.0" encoding="utf-8"?>
<Properties xmlns="http://schemas.openxmlformats.org/officeDocument/2006/custom-properties" xmlns:vt="http://schemas.openxmlformats.org/officeDocument/2006/docPropsVTypes"/>
</file>