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56"/>
          <w:szCs w:val="56"/>
        </w:rPr>
        <w:t xml:space="preserve">PROJECT SUTRA</w:t>
      </w:r>
    </w:p>
    <w:p>
      <w:pPr>
        <w:spacing w:after="200"/>
        <w:jc w:val="center"/>
      </w:pPr>
      <w:r>
        <w:rPr>
          <w:b/>
          <w:bCs/>
          <w:color w:val="B7791F"/>
          <w:sz w:val="26"/>
          <w:szCs w:val="26"/>
        </w:rPr>
        <w:t xml:space="preserve">Syndicate Unmasking through Transaction &amp; Relationship Analytics</w:t>
      </w:r>
    </w:p>
    <w:p>
      <w:pPr>
        <w:spacing w:after="600"/>
        <w:jc w:val="center"/>
      </w:pPr>
      <w:r>
        <w:rPr>
          <w:i/>
          <w:iCs/>
          <w:color w:val="595959"/>
          <w:sz w:val="22"/>
          <w:szCs w:val="22"/>
        </w:rPr>
        <w:t xml:space="preserve">A Real-Time Human-to-Blockchain Fusion &amp; Predictive Attribution Platform
for Cyber-Enabled Financial Fraud Investigation in India</w:t>
      </w:r>
    </w:p>
    <w:p>
      <w:pPr>
        <w:spacing w:before="800"/>
        <w:jc w:val="center"/>
      </w:pPr>
      <w:r>
        <w:rPr>
          <w:b/>
          <w:bCs/>
          <w:sz w:val="20"/>
          <w:szCs w:val="20"/>
        </w:rPr>
        <w:t xml:space="preserve">Concept, Gap Analysis &amp; Technical Solution Report</w:t>
      </w:r>
    </w:p>
    <w:p>
      <w:pPr>
        <w:spacing w:before="100"/>
        <w:jc w:val="center"/>
      </w:pPr>
      <w:r>
        <w:rPr>
          <w:color w:val="595959"/>
          <w:sz w:val="18"/>
          <w:szCs w:val="18"/>
        </w:rPr>
        <w:t xml:space="preserve">Response to: Real-Time Crypto Fraud Attribution System — Problem Statement</w:t>
      </w:r>
    </w:p>
    <w:p>
      <w:pPr>
        <w:spacing w:before="1600"/>
        <w:jc w:val="center"/>
      </w:pPr>
      <w:r>
        <w:rPr>
          <w:color w:val="595959"/>
          <w:sz w:val="16"/>
          <w:szCs w:val="16"/>
        </w:rPr>
        <w:t xml:space="preserve">Domain focus: Blockchain Forensics · Graph Intelligence · Applied AI/ML for Law Enforcement</w:t>
      </w:r>
    </w:p>
    <w:p>
      <w:r>
        <w:br w:type="page"/>
      </w:r>
    </w:p>
    <w:p>
      <w:pPr>
        <w:pStyle w:val="Heading1"/>
        <w:pBdr>
          <w:bottom w:val="single" w:color="1F3864" w:sz="8" w:space="4"/>
        </w:pBdr>
        <w:spacing w:after="200" w:before="400"/>
      </w:pPr>
      <w:r>
        <w:rPr>
          <w:b/>
          <w:bCs/>
          <w:color w:val="1F3864"/>
          <w:sz w:val="30"/>
          <w:szCs w:val="30"/>
        </w:rPr>
        <w:t xml:space="preserve">1. Executive Summary</w:t>
      </w:r>
    </w:p>
    <w:p>
      <w:pPr>
        <w:spacing w:after="160" w:line="300"/>
        <w:jc w:val="both"/>
      </w:pPr>
      <w:r>
        <w:rPr>
          <w:sz w:val="21"/>
          <w:szCs w:val="21"/>
        </w:rPr>
        <w:t xml:space="preserve">Every existing crypto-fraud attribution capability in the world today — commercial platforms such as Chainalysis, Elliptic and TRM Labs, and India's own government infrastructure (NCRP, I4C's CFCFRMS, and the Sahyog portal) — starts its analysis at exactly one point: the wallet address a victim reports. From that point onward, these systems are genuinely strong at tracing hops, clustering exchange deposit addresses, and (in India's case) routing legal freeze requests to onboarded VASPs. This report does not dispute that this layer of work is real, valuable, and already progressing.</w:t>
      </w:r>
    </w:p>
    <w:p>
      <w:pPr>
        <w:spacing w:after="160" w:line="300"/>
        <w:jc w:val="both"/>
      </w:pPr>
      <w:r>
        <w:rPr>
          <w:sz w:val="21"/>
          <w:szCs w:val="21"/>
        </w:rPr>
        <w:t xml:space="preserve">What none of these systems do — anywhere in the world, and especially not in the Indian context — is connect that wallet backward to the human and fiat-rail infrastructure that put the victim's money into crypto in the first place: the mule bank account, the UPI handle, the rented SIM card, the Telegram/WhatsApp recruiter, and the P2P desk that converted rupees into crypto. Blockchain-analytics companies structurally cannot see this layer (they have no access to India's banking/UPI/telecom data). Indian government platforms hold pieces of this data but have no blockchain-analytics capability layered on top of it, and no engine that fuses the two into one investigable picture. This split is not an oversight by any one vendor — it is a structural gap that sits between two domains no single existing player occupies.</w:t>
      </w:r>
    </w:p>
    <w:p>
      <w:pPr>
        <w:spacing w:after="160" w:line="300"/>
        <w:jc w:val="both"/>
      </w:pPr>
      <w:r>
        <w:rPr>
          <w:sz w:val="21"/>
          <w:szCs w:val="21"/>
        </w:rPr>
        <w:t xml:space="preserve">A second, equally unaddressed gap sits alongside the first: every existing system is strictly reactive. Tracing begins only after a complaint arrives. Fraud syndicates, however, reuse wallets, funding sources, timing patterns, and off-ramp exchanges across dozens of victims simultaneously. Once even one wallet belonging to a syndicate is confirmed, the syndicate's other live wallets — actively receiving fraud proceeds from other victims right now — remain completely invisible until those victims separately complain, by which time the funds have already exited.</w:t>
      </w:r>
    </w:p>
    <w:p>
      <w:pPr>
        <w:spacing w:after="160" w:line="300"/>
        <w:jc w:val="both"/>
      </w:pPr>
      <w:r>
        <w:rPr>
          <w:sz w:val="21"/>
          <w:szCs w:val="21"/>
        </w:rPr>
        <w:t xml:space="preserve">Project SUTRA proposes to close both gaps with a single fused architecture: (1) a Human-Chain Fusion Graph that links fiat-rail mule infrastructure to on-chain wallet clusters through entity resolution, and (2) a Predictive Shadow-Cluster Engine that behaviourally fingerprints confirmed syndicate wallets and continuously screens new on-chain activity to flag likely syndicate wallets before a victim ever files a complaint — enabling pre-emptive freeze requests instead of after-the-fact tracing. The remainder of this report details why this specific gap has gone unsolved, what SUTRA is, how it is architected, what data and tooling it needs, and a concrete build roadmap from a 36-hour hackathon prototype through to a production-grade LEA deployment.</w:t>
      </w:r>
    </w:p>
    <w:p>
      <w:pPr>
        <w:pStyle w:val="Heading1"/>
        <w:pBdr>
          <w:bottom w:val="single" w:color="1F3864" w:sz="8" w:space="4"/>
        </w:pBdr>
        <w:spacing w:after="200" w:before="400"/>
      </w:pPr>
      <w:r>
        <w:rPr>
          <w:b/>
          <w:bCs/>
          <w:color w:val="1F3864"/>
          <w:sz w:val="30"/>
          <w:szCs w:val="30"/>
        </w:rPr>
        <w:t xml:space="preserve">2. What Is Already Solved (Baseline — Not the Opportunity)</w:t>
      </w:r>
    </w:p>
    <w:p>
      <w:pPr>
        <w:spacing w:after="160" w:line="300"/>
        <w:jc w:val="both"/>
      </w:pPr>
      <w:r>
        <w:rPr>
          <w:sz w:val="21"/>
          <w:szCs w:val="21"/>
        </w:rPr>
        <w:t xml:space="preserve">Before presenting the gap, it is important to be precise about what already exists, so the proposed solution is not pitched against work that is already underway or completed. The following capabilities are genuinely mature and should not be re-built:</w:t>
      </w:r>
    </w:p>
    <w:p>
      <w:pPr>
        <w:pStyle w:val="ListParagraph"/>
        <w:numPr>
          <w:ilvl w:val="0"/>
          <w:numId w:val="2"/>
        </w:numPr>
        <w:spacing w:after="90" w:line="280"/>
      </w:pPr>
      <w:r>
        <w:rPr>
          <w:sz w:val="21"/>
          <w:szCs w:val="21"/>
        </w:rPr>
        <w:t xml:space="preserve">Single-chain wallet tracing and hop-by-hop transaction graph analysis (Chainalysis, Elliptic, TRM Labs, GraphSense, Etherscan/Blockchair-style explorers).</w:t>
      </w:r>
    </w:p>
    <w:p>
      <w:pPr>
        <w:pStyle w:val="ListParagraph"/>
        <w:numPr>
          <w:ilvl w:val="0"/>
          <w:numId w:val="2"/>
        </w:numPr>
        <w:spacing w:after="90" w:line="280"/>
      </w:pPr>
      <w:r>
        <w:rPr>
          <w:sz w:val="21"/>
          <w:szCs w:val="21"/>
        </w:rPr>
        <w:t xml:space="preserve">Exchange deposit-address clustering for major, KYC-compliant VASPs.</w:t>
      </w:r>
    </w:p>
    <w:p>
      <w:pPr>
        <w:pStyle w:val="ListParagraph"/>
        <w:numPr>
          <w:ilvl w:val="0"/>
          <w:numId w:val="2"/>
        </w:numPr>
        <w:spacing w:after="90" w:line="280"/>
      </w:pPr>
      <w:r>
        <w:rPr>
          <w:sz w:val="21"/>
          <w:szCs w:val="21"/>
        </w:rPr>
        <w:t xml:space="preserve">A formal legal channel for LEA-to-VASP requests: the Sahyog portal, with 45+ exchanges onboarded (including major global and Indian VASPs), operating under Section 94 BNSS and Section 79(3)(b) IT Act.</w:t>
      </w:r>
    </w:p>
    <w:p>
      <w:pPr>
        <w:pStyle w:val="ListParagraph"/>
        <w:numPr>
          <w:ilvl w:val="0"/>
          <w:numId w:val="2"/>
        </w:numPr>
        <w:spacing w:after="90" w:line="280"/>
      </w:pPr>
      <w:r>
        <w:rPr>
          <w:sz w:val="21"/>
          <w:szCs w:val="21"/>
        </w:rPr>
        <w:t xml:space="preserve">A documented SOP (Jan 2026) for VDA/crypto forensic analysis and VASP hold-requests, coordinated through NCRP–CFCFRMS.</w:t>
      </w:r>
    </w:p>
    <w:p>
      <w:pPr>
        <w:pStyle w:val="ListParagraph"/>
        <w:numPr>
          <w:ilvl w:val="0"/>
          <w:numId w:val="2"/>
        </w:numPr>
        <w:spacing w:after="90" w:line="280"/>
      </w:pPr>
      <w:r>
        <w:rPr>
          <w:sz w:val="21"/>
          <w:szCs w:val="21"/>
        </w:rPr>
        <w:t xml:space="preserve">Victim complaint intake via NCRP, with wallet addresses captured as free-text/attachment fields.</w:t>
      </w:r>
    </w:p>
    <w:p>
      <w:pPr>
        <w:spacing w:after="160" w:line="300"/>
        <w:jc w:val="both"/>
      </w:pPr>
      <w:r>
        <w:rPr>
          <w:sz w:val="21"/>
          <w:szCs w:val="21"/>
        </w:rPr>
        <w:t xml:space="preserve">These form a credible baseline. SUTRA is designed to sit on top of and automate this baseline — particularly by auto-generating Sahyog/CFCFRMS-format legal requests directly from trace output — rather than duplicating it.</w:t>
      </w:r>
    </w:p>
    <w:p>
      <w:pPr>
        <w:pStyle w:val="Heading1"/>
        <w:pBdr>
          <w:bottom w:val="single" w:color="1F3864" w:sz="8" w:space="4"/>
        </w:pBdr>
        <w:spacing w:after="200" w:before="400"/>
      </w:pPr>
      <w:r>
        <w:rPr>
          <w:b/>
          <w:bCs/>
          <w:color w:val="1F3864"/>
          <w:sz w:val="30"/>
          <w:szCs w:val="30"/>
        </w:rPr>
        <w:t xml:space="preserve">3. The Deep, Unaddressed Gap</w:t>
      </w:r>
    </w:p>
    <w:p>
      <w:pPr>
        <w:pStyle w:val="Heading2"/>
        <w:spacing w:after="120" w:before="300"/>
      </w:pPr>
      <w:r>
        <w:rPr>
          <w:b/>
          <w:bCs/>
          <w:color w:val="B7791F"/>
          <w:sz w:val="24"/>
          <w:szCs w:val="24"/>
        </w:rPr>
        <w:t xml:space="preserve">3.1 The “On-Chain-Only” Tunnel Vision</w:t>
      </w:r>
    </w:p>
    <w:p>
      <w:pPr>
        <w:spacing w:after="160" w:line="300"/>
        <w:jc w:val="both"/>
      </w:pPr>
      <w:r>
        <w:rPr>
          <w:sz w:val="21"/>
          <w:szCs w:val="21"/>
        </w:rPr>
        <w:t xml:space="preserve">Every tool listed above begins analysis at the wallet address. But by the time a fraud syndicate's money reaches a blockchain, a full off-chain campaign has already run: a victim was recruited through a task-based job scam or investment scheme on Telegram/WhatsApp; a money mule was paid a small commission to lend their bank account or UPI handle; the victim's funds moved via IMPS/NEFT/UPI into that mule account; the mule (often unknowingly) forwarded the funds to a P2P crypto desk or a low-KYC exchange, converting fiat into the crypto that eventually gets reported.</w:t>
      </w:r>
    </w:p>
    <w:p>
      <w:pPr>
        <w:spacing w:after="160" w:line="300"/>
        <w:jc w:val="both"/>
      </w:pPr>
      <w:r>
        <w:rPr>
          <w:sz w:val="21"/>
          <w:szCs w:val="21"/>
        </w:rPr>
        <w:t xml:space="preserve">This off-chain evidentiary trail — the mule bank account, the recruiter's phone number and social handles, the SIM card procurement pattern, the P2P counter-party — lives in an entirely different investigative silo: bank fraud/mule-account complaints (handled under RBI/bank SCORES-linked processes), telecom SIM-fraud registries, and cyber-patrol social-media takedown records. None of it is joined, systematically, to the blockchain trace. An investigator ends up holding two disconnected partial pictures and manually tries to stitch them together over days or weeks — the exact delay the original problem statement identifies, except one level deeper than “blockchain tracing is slow.”</w:t>
      </w:r>
    </w:p>
    <w:p>
      <w:pPr>
        <w:spacing w:after="160" w:line="300"/>
        <w:jc w:val="both"/>
      </w:pPr>
      <w:r>
        <w:rPr>
          <w:sz w:val="21"/>
          <w:szCs w:val="21"/>
        </w:rPr>
        <w:t xml:space="preserve">Why this has not been solved by anyone: foreign blockchain-analytics vendors have no legal access to Indian banking, UPI, or telecom data — they cannot build this fusion even if they tried, for structural and jurisdictional reasons. Indian government platforms hold pieces of the fiat-side data but have no blockchain-analytics layer and are scoped as complaint/document-exchange infrastructure rather than an analytics engine. No entity today has simultaneous access to both data domains, the analytics capability to fuse them, and the legal standing to operate on Indian citizens' banking data. That is precisely the gap SUTRA is positioned to fill, because it is designed from day one as an India-specific LEA tool, not a repackaged global blockchain-forensics product.</w:t>
      </w:r>
    </w:p>
    <w:p>
      <w:pPr>
        <w:pStyle w:val="Heading2"/>
        <w:spacing w:after="120" w:before="300"/>
      </w:pPr>
      <w:r>
        <w:rPr>
          <w:b/>
          <w:bCs/>
          <w:color w:val="B7791F"/>
          <w:sz w:val="24"/>
          <w:szCs w:val="24"/>
        </w:rPr>
        <w:t xml:space="preserve">3.2 Reactive-Only Attribution — No Predictive Layer</w:t>
      </w:r>
    </w:p>
    <w:p>
      <w:pPr>
        <w:spacing w:after="160" w:line="300"/>
        <w:jc w:val="both"/>
      </w:pPr>
      <w:r>
        <w:rPr>
          <w:sz w:val="21"/>
          <w:szCs w:val="21"/>
        </w:rPr>
        <w:t xml:space="preserve">A second, compounding gap: every existing system, including Sahyog and CFCFRMS, is complaint-triggered. Tracing starts only once a human reports a wallet. Fraud syndicates, however, are operationally repetitive — they reuse wallet-generation scripts, the same gas-fee funding source, the same off-ramp exchange or P2P counter-party, similar timing windows, and often the same mixer entry points across many simultaneous victims.</w:t>
      </w:r>
    </w:p>
    <w:p>
      <w:pPr>
        <w:spacing w:after="160" w:line="300"/>
        <w:jc w:val="both"/>
      </w:pPr>
      <w:r>
        <w:rPr>
          <w:sz w:val="21"/>
          <w:szCs w:val="21"/>
        </w:rPr>
        <w:t xml:space="preserve">Once a single wallet from a syndicate is confirmed through any one victim's complaint, that syndicate's other active wallets — which may be receiving proceeds from other, not-yet-complained victims at that very moment — remain invisible. They only surface later, one at a time, as each individual victim separately files a complaint, by which point funds have typically already been withdrawn from the exit exchange. No current system performs continuous behavioural-fingerprint matching against new on-chain activity to flag “this newly created wallet matches Syndicate X's known pattern” before a complaint exists.</w:t>
      </w:r>
    </w:p>
    <w:p>
      <w:pPr>
        <w:pStyle w:val="Heading2"/>
        <w:spacing w:after="120" w:before="300"/>
      </w:pPr>
      <w:r>
        <w:rPr>
          <w:b/>
          <w:bCs/>
          <w:color w:val="B7791F"/>
          <w:sz w:val="24"/>
          <w:szCs w:val="24"/>
        </w:rPr>
        <w:t xml:space="preserve">3.3 Legal-Format Automation Gap (Refined)</w:t>
      </w:r>
    </w:p>
    <w:p>
      <w:pPr>
        <w:spacing w:after="160" w:line="300"/>
        <w:jc w:val="both"/>
      </w:pPr>
      <w:r>
        <w:rPr>
          <w:sz w:val="21"/>
          <w:szCs w:val="21"/>
        </w:rPr>
        <w:t xml:space="preserve">Sahyog is a genuine, functioning legal-request channel, but it remains a manual coordination process: an investigator drafts a request, references the trace findings, and submits it in the required legal format. There is no system today that takes a blockchain trace result and automatically drafts a Sahyog/CFCFRMS-compliant hold-request, pre-filled with wallet hop evidence, timestamps, and exchange deposit-address attribution. This is a narrow, accurate, and immediately valuable automation gap layered on top of existing infrastructure, not a claim to replace it.</w:t>
      </w:r>
    </w:p>
    <w:p>
      <w:r>
        <w:br w:type="page"/>
      </w:r>
    </w:p>
    <w:p>
      <w:pPr>
        <w:pStyle w:val="Heading1"/>
        <w:pBdr>
          <w:bottom w:val="single" w:color="1F3864" w:sz="8" w:space="4"/>
        </w:pBdr>
        <w:spacing w:after="200" w:before="400"/>
      </w:pPr>
      <w:r>
        <w:rPr>
          <w:b/>
          <w:bCs/>
          <w:color w:val="1F3864"/>
          <w:sz w:val="30"/>
          <w:szCs w:val="30"/>
        </w:rPr>
        <w:t xml:space="preserve">4. Proposed Solution: Project SUTRA</w:t>
      </w:r>
    </w:p>
    <w:p>
      <w:pPr>
        <w:spacing w:after="160" w:line="300"/>
        <w:jc w:val="both"/>
      </w:pPr>
      <w:r>
        <w:rPr>
          <w:sz w:val="21"/>
          <w:szCs w:val="21"/>
        </w:rPr>
        <w:t xml:space="preserve">SUTRA (Syndicate Unmasking through Transaction &amp; Relationship Analytics) is a graph-intelligence platform built around two fused pillars and one automation layer:</w:t>
      </w:r>
    </w:p>
    <w:p>
      <w:pPr>
        <w:pStyle w:val="Heading2"/>
        <w:spacing w:after="120" w:before="300"/>
      </w:pPr>
      <w:r>
        <w:rPr>
          <w:b/>
          <w:bCs/>
          <w:color w:val="B7791F"/>
          <w:sz w:val="24"/>
          <w:szCs w:val="24"/>
        </w:rPr>
        <w:t xml:space="preserve">Pillar A — Human-Chain Fusion Graph Engine</w:t>
      </w:r>
    </w:p>
    <w:p>
      <w:pPr>
        <w:spacing w:after="160" w:line="300"/>
        <w:jc w:val="both"/>
      </w:pPr>
      <w:r>
        <w:rPr>
          <w:sz w:val="21"/>
          <w:szCs w:val="21"/>
        </w:rPr>
        <w:t xml:space="preserve">Ingests both fiat-side and on-chain data into a single unified knowledge graph using entity-resolution techniques, so that a mule bank account, a UPI handle, a recruiter's Telegram handle, a SIM card, a P2P counter-party, and an on-chain wallet cluster can all be represented as connected nodes in one graph — instead of living in separate case files.</w:t>
      </w:r>
    </w:p>
    <w:p>
      <w:pPr>
        <w:pStyle w:val="ListParagraph"/>
        <w:numPr>
          <w:ilvl w:val="0"/>
          <w:numId w:val="2"/>
        </w:numPr>
        <w:spacing w:after="90" w:line="280"/>
      </w:pPr>
      <w:r>
        <w:rPr>
          <w:sz w:val="21"/>
          <w:szCs w:val="21"/>
        </w:rPr>
        <w:t xml:space="preserve">Fiat-side nodes: mule bank accounts / UPI IDs (from NCRP mule-account flags and bank fraud-reporting data), SIM/telecom fraud registry entries, recruiter social-media handles identified by cyber-patrol units, P2P/OTC desk counter-parties.</w:t>
      </w:r>
    </w:p>
    <w:p>
      <w:pPr>
        <w:pStyle w:val="ListParagraph"/>
        <w:numPr>
          <w:ilvl w:val="0"/>
          <w:numId w:val="2"/>
        </w:numPr>
        <w:spacing w:after="90" w:line="280"/>
      </w:pPr>
      <w:r>
        <w:rPr>
          <w:sz w:val="21"/>
          <w:szCs w:val="21"/>
        </w:rPr>
        <w:t xml:space="preserve">On-chain nodes: wallet addresses, exchange deposit clusters, bridge/mixer interaction points, cross-chain hops.</w:t>
      </w:r>
    </w:p>
    <w:p>
      <w:pPr>
        <w:pStyle w:val="ListParagraph"/>
        <w:numPr>
          <w:ilvl w:val="0"/>
          <w:numId w:val="2"/>
        </w:numPr>
        <w:spacing w:after="90" w:line="280"/>
      </w:pPr>
      <w:r>
        <w:rPr>
          <w:sz w:val="21"/>
          <w:szCs w:val="21"/>
        </w:rPr>
        <w:t xml:space="preserve">Edges: money-flow edges (who paid whom, on which rail, when) and identity-linkage edges (same phone number reused across handles, same device fingerprint, same IP range, same off-ramp counter-party reused across cases).</w:t>
      </w:r>
    </w:p>
    <w:p>
      <w:pPr>
        <w:spacing w:after="160" w:line="300"/>
        <w:jc w:val="both"/>
      </w:pPr>
      <w:r>
        <w:rPr>
          <w:sz w:val="21"/>
          <w:szCs w:val="21"/>
        </w:rPr>
        <w:t xml:space="preserve">The result is not “wallet A sent to wallet B” in isolation — it is a syndicate-level map: which recruiter fed which mule accounts, which mule accounts fed which on-chain cluster, and which cluster exited through which exchange. This is the single most valuable and most defensible innovation in this proposal, because it turns wallet-level attribution into syndicate-level attribution.</w:t>
      </w:r>
    </w:p>
    <w:p>
      <w:pPr>
        <w:pStyle w:val="Heading2"/>
        <w:spacing w:after="120" w:before="300"/>
      </w:pPr>
      <w:r>
        <w:rPr>
          <w:b/>
          <w:bCs/>
          <w:color w:val="B7791F"/>
          <w:sz w:val="24"/>
          <w:szCs w:val="24"/>
        </w:rPr>
        <w:t xml:space="preserve">Pillar B — Predictive Shadow-Cluster Engine</w:t>
      </w:r>
    </w:p>
    <w:p>
      <w:pPr>
        <w:spacing w:after="160" w:line="300"/>
        <w:jc w:val="both"/>
      </w:pPr>
      <w:r>
        <w:rPr>
          <w:sz w:val="21"/>
          <w:szCs w:val="21"/>
        </w:rPr>
        <w:t xml:space="preserve">A behavioural-fingerprinting ML layer that learns the operational signature of a confirmed syndicate (timing patterns of wallet creation, gas-funding source reuse, preferred off-ramp exchanges, mixer entry/exit timing correlation, address-generation heuristics) and continuously scores newly observed on-chain activity against these fingerprints.</w:t>
      </w:r>
    </w:p>
    <w:p>
      <w:pPr>
        <w:pStyle w:val="ListParagraph"/>
        <w:numPr>
          <w:ilvl w:val="0"/>
          <w:numId w:val="2"/>
        </w:numPr>
        <w:spacing w:after="90" w:line="280"/>
      </w:pPr>
      <w:r>
        <w:rPr>
          <w:sz w:val="21"/>
          <w:szCs w:val="21"/>
        </w:rPr>
        <w:t xml:space="preserve">Produces a live “shadow watchlist” of wallets that statistically resemble a known syndicate, before any victim has complained about them.</w:t>
      </w:r>
    </w:p>
    <w:p>
      <w:pPr>
        <w:pStyle w:val="ListParagraph"/>
        <w:numPr>
          <w:ilvl w:val="0"/>
          <w:numId w:val="2"/>
        </w:numPr>
        <w:spacing w:after="90" w:line="280"/>
      </w:pPr>
      <w:r>
        <w:rPr>
          <w:sz w:val="21"/>
          <w:szCs w:val="21"/>
        </w:rPr>
        <w:t xml:space="preserve">Feeds a risk-ranked alert queue to investigators and can trigger an early advisory to the identified exit exchange, ahead of formal complaint-driven freeze requests.</w:t>
      </w:r>
    </w:p>
    <w:p>
      <w:pPr>
        <w:pStyle w:val="ListParagraph"/>
        <w:numPr>
          <w:ilvl w:val="0"/>
          <w:numId w:val="2"/>
        </w:numPr>
        <w:spacing w:after="90" w:line="280"/>
      </w:pPr>
      <w:r>
        <w:rPr>
          <w:sz w:val="21"/>
          <w:szCs w:val="21"/>
        </w:rPr>
        <w:t xml:space="preserve">Materially shortens the window between “fraud occurs” and “funds are flagged,” directly addressing the core delay named in the original problem statement.</w:t>
      </w:r>
    </w:p>
    <w:p>
      <w:pPr>
        <w:pStyle w:val="Heading2"/>
        <w:spacing w:after="120" w:before="300"/>
      </w:pPr>
      <w:r>
        <w:rPr>
          <w:b/>
          <w:bCs/>
          <w:color w:val="B7791F"/>
          <w:sz w:val="24"/>
          <w:szCs w:val="24"/>
        </w:rPr>
        <w:t xml:space="preserve">Automation Layer — Legal Request Generator</w:t>
      </w:r>
    </w:p>
    <w:p>
      <w:pPr>
        <w:spacing w:after="160" w:line="300"/>
        <w:jc w:val="both"/>
      </w:pPr>
      <w:r>
        <w:rPr>
          <w:sz w:val="21"/>
          <w:szCs w:val="21"/>
        </w:rPr>
        <w:t xml:space="preserve">Converts a confirmed trace (fusion graph path + shadow-cluster score + supporting evidence) directly into a pre-filled, Sahyog/CFCFRMS-format legal request document, cutting the manual drafting step out of the existing, already-functional coordination channel.</w:t>
      </w:r>
    </w:p>
    <w:p>
      <w:pPr>
        <w:pStyle w:val="Heading1"/>
        <w:pBdr>
          <w:bottom w:val="single" w:color="1F3864" w:sz="8" w:space="4"/>
        </w:pBdr>
        <w:spacing w:after="200" w:before="400"/>
      </w:pPr>
      <w:r>
        <w:rPr>
          <w:b/>
          <w:bCs/>
          <w:color w:val="1F3864"/>
          <w:sz w:val="30"/>
          <w:szCs w:val="30"/>
        </w:rPr>
        <w:t xml:space="preserve">5. Why This Does Not Already Exist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rPr>
          <w:tblHeader/>
        </w:trPr>
        <w:tc>
          <w:tcPr>
            <w:tcW w:type="dxa" w:w="2600"/>
            <w:shd w:fill="1F3864" w:val="clear"/>
            <w:tcMar>
              <w:top w:type="dxa" w:w="80"/>
              <w:left w:type="dxa" w:w="100"/>
              <w:bottom w:type="dxa" w:w="80"/>
              <w:right w:type="dxa" w:w="100"/>
            </w:tcMar>
          </w:tcPr>
          <w:p>
            <w:pPr>
              <w:jc w:val="center"/>
            </w:pPr>
            <w:r>
              <w:rPr>
                <w:b/>
                <w:bCs/>
                <w:color w:val="FFFFFF"/>
                <w:sz w:val="19"/>
                <w:szCs w:val="19"/>
              </w:rPr>
              <w:t xml:space="preserve">Capability</w:t>
            </w:r>
          </w:p>
        </w:tc>
        <w:tc>
          <w:tcPr>
            <w:tcW w:type="dxa" w:w="2400"/>
            <w:shd w:fill="1F3864" w:val="clear"/>
            <w:tcMar>
              <w:top w:type="dxa" w:w="80"/>
              <w:left w:type="dxa" w:w="100"/>
              <w:bottom w:type="dxa" w:w="80"/>
              <w:right w:type="dxa" w:w="100"/>
            </w:tcMar>
          </w:tcPr>
          <w:p>
            <w:pPr>
              <w:jc w:val="center"/>
            </w:pPr>
            <w:r>
              <w:rPr>
                <w:b/>
                <w:bCs/>
                <w:color w:val="FFFFFF"/>
                <w:sz w:val="19"/>
                <w:szCs w:val="19"/>
              </w:rPr>
              <w:t xml:space="preserve">Chainalysis / Elliptic / TRM</w:t>
            </w:r>
          </w:p>
        </w:tc>
        <w:tc>
          <w:tcPr>
            <w:tcW w:type="dxa" w:w="2400"/>
            <w:shd w:fill="1F3864" w:val="clear"/>
            <w:tcMar>
              <w:top w:type="dxa" w:w="80"/>
              <w:left w:type="dxa" w:w="100"/>
              <w:bottom w:type="dxa" w:w="80"/>
              <w:right w:type="dxa" w:w="100"/>
            </w:tcMar>
          </w:tcPr>
          <w:p>
            <w:pPr>
              <w:jc w:val="center"/>
            </w:pPr>
            <w:r>
              <w:rPr>
                <w:b/>
                <w:bCs/>
                <w:color w:val="FFFFFF"/>
                <w:sz w:val="19"/>
                <w:szCs w:val="19"/>
              </w:rPr>
              <w:t xml:space="preserve">Sahyog / NCRP / CFCFRMS</w:t>
            </w:r>
          </w:p>
        </w:tc>
        <w:tc>
          <w:tcPr>
            <w:tcW w:type="dxa" w:w="2400"/>
            <w:shd w:fill="1F3864" w:val="clear"/>
            <w:tcMar>
              <w:top w:type="dxa" w:w="80"/>
              <w:left w:type="dxa" w:w="100"/>
              <w:bottom w:type="dxa" w:w="80"/>
              <w:right w:type="dxa" w:w="100"/>
            </w:tcMar>
          </w:tcPr>
          <w:p>
            <w:pPr>
              <w:jc w:val="center"/>
            </w:pPr>
            <w:r>
              <w:rPr>
                <w:b/>
                <w:bCs/>
                <w:color w:val="FFFFFF"/>
                <w:sz w:val="19"/>
                <w:szCs w:val="19"/>
              </w:rPr>
              <w:t xml:space="preserve">SUTRA</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On-chain wallet tracing</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Yes — mature</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Not built in</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Yes — via open indexers</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Access to Indian bank/UPI mule data</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No — no legal access</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Partial (complaint-linked)</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Yes — designed for this access</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Fusion of fiat-rail + on-chain graph</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Yes — core innovation</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Predictive / pre-complaint flagging</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Yes — shadow-cluster engine</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Legal-format auto-drafting for Sahyog</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N/A (foreign vendor)</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Manual only</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Yes — automated</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Syndicate-level (vs wallet-level) mapping</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Yes</w:t>
            </w:r>
          </w:p>
        </w:tc>
      </w:tr>
    </w:tbl>
    <w:p>
      <w:pPr>
        <w:spacing w:after="160" w:line="300"/>
        <w:jc w:val="both"/>
      </w:pPr>
      <w:r>
        <w:rPr>
          <w:i/>
          <w:iCs/>
          <w:color w:val="595959"/>
          <w:sz w:val="21"/>
          <w:szCs w:val="21"/>
        </w:rPr>
        <w:t xml:space="preserve">This positioning is deliberately narrow and India-specific. It does not attempt to out-build Chainalysis at global on-chain analytics, and it does not attempt to replace Sahyog's legal-coordination role. It occupies the one seam that structurally falls between a foreign analytics vendor with no domestic data access and a domestic legal-coordination platform with no analytics layer.</w:t>
      </w:r>
    </w:p>
    <w:p>
      <w:r>
        <w:br w:type="page"/>
      </w:r>
    </w:p>
    <w:p>
      <w:pPr>
        <w:pStyle w:val="Heading1"/>
        <w:pBdr>
          <w:bottom w:val="single" w:color="1F3864" w:sz="8" w:space="4"/>
        </w:pBdr>
        <w:spacing w:after="200" w:before="400"/>
      </w:pPr>
      <w:r>
        <w:rPr>
          <w:b/>
          <w:bCs/>
          <w:color w:val="1F3864"/>
          <w:sz w:val="30"/>
          <w:szCs w:val="30"/>
        </w:rPr>
        <w:t xml:space="preserve">6. System Architecture</w:t>
      </w:r>
    </w:p>
    <w:p>
      <w:pPr>
        <w:pStyle w:val="Heading2"/>
        <w:spacing w:after="120" w:before="300"/>
      </w:pPr>
      <w:r>
        <w:rPr>
          <w:b/>
          <w:bCs/>
          <w:color w:val="B7791F"/>
          <w:sz w:val="24"/>
          <w:szCs w:val="24"/>
        </w:rPr>
        <w:t xml:space="preserve">6.1 Layered Design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600"/>
      </w:tblGrid>
      <w:tr>
        <w:trPr>
          <w:tblHeader/>
        </w:trPr>
        <w:tc>
          <w:tcPr>
            <w:tcW w:type="dxa" w:w="1900"/>
            <w:shd w:fill="1F3864" w:val="clear"/>
            <w:tcMar>
              <w:top w:type="dxa" w:w="80"/>
              <w:left w:type="dxa" w:w="100"/>
              <w:bottom w:type="dxa" w:w="80"/>
              <w:right w:type="dxa" w:w="100"/>
            </w:tcMar>
          </w:tcPr>
          <w:p>
            <w:pPr>
              <w:jc w:val="center"/>
            </w:pPr>
            <w:r>
              <w:rPr>
                <w:b/>
                <w:bCs/>
                <w:color w:val="FFFFFF"/>
                <w:sz w:val="19"/>
                <w:szCs w:val="19"/>
              </w:rPr>
              <w:t xml:space="preserve">Layer</w:t>
            </w:r>
          </w:p>
        </w:tc>
        <w:tc>
          <w:tcPr>
            <w:tcW w:type="dxa" w:w="3300"/>
            <w:shd w:fill="1F3864" w:val="clear"/>
            <w:tcMar>
              <w:top w:type="dxa" w:w="80"/>
              <w:left w:type="dxa" w:w="100"/>
              <w:bottom w:type="dxa" w:w="80"/>
              <w:right w:type="dxa" w:w="100"/>
            </w:tcMar>
          </w:tcPr>
          <w:p>
            <w:pPr>
              <w:jc w:val="center"/>
            </w:pPr>
            <w:r>
              <w:rPr>
                <w:b/>
                <w:bCs/>
                <w:color w:val="FFFFFF"/>
                <w:sz w:val="19"/>
                <w:szCs w:val="19"/>
              </w:rPr>
              <w:t xml:space="preserve">Function</w:t>
            </w:r>
          </w:p>
        </w:tc>
        <w:tc>
          <w:tcPr>
            <w:tcW w:type="dxa" w:w="3600"/>
            <w:shd w:fill="1F3864" w:val="clear"/>
            <w:tcMar>
              <w:top w:type="dxa" w:w="80"/>
              <w:left w:type="dxa" w:w="100"/>
              <w:bottom w:type="dxa" w:w="80"/>
              <w:right w:type="dxa" w:w="100"/>
            </w:tcMar>
          </w:tcPr>
          <w:p>
            <w:pPr>
              <w:jc w:val="center"/>
            </w:pPr>
            <w:r>
              <w:rPr>
                <w:b/>
                <w:bCs/>
                <w:color w:val="FFFFFF"/>
                <w:sz w:val="19"/>
                <w:szCs w:val="19"/>
              </w:rPr>
              <w:t xml:space="preserve">Key Components</w:t>
            </w:r>
          </w:p>
        </w:tc>
      </w:tr>
      <w:tr>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1. Ingestion</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Pull complaint, fiat-rail and on-chain data</w:t>
            </w:r>
          </w:p>
        </w:tc>
        <w:tc>
          <w:tcPr>
            <w:tcW w:type="dxa" w:w="3600"/>
            <w:shd w:fill="F2F2F2" w:val="clear"/>
            <w:tcMar>
              <w:top w:type="dxa" w:w="80"/>
              <w:left w:type="dxa" w:w="100"/>
              <w:bottom w:type="dxa" w:w="80"/>
              <w:right w:type="dxa" w:w="100"/>
            </w:tcMar>
          </w:tcPr>
          <w:p>
            <w:pPr>
              <w:jc w:val="left"/>
            </w:pPr>
            <w:r>
              <w:rPr>
                <w:b w:val="false"/>
                <w:bCs w:val="false"/>
                <w:color w:val="000000"/>
                <w:sz w:val="19"/>
                <w:szCs w:val="19"/>
              </w:rPr>
              <w:t xml:space="preserve">NCRP/CFCFRMS API feed, bank mule-flag feed, telecom SIM-fraud registry, blockchain node/indexer streams, OSINT scraper for public recruiter channels</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2. Entity Resolution &amp; Fusion</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Merge fiat and on-chain entities into one graph</w:t>
            </w:r>
          </w:p>
        </w:tc>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Identity-resolution ML (phone/device/IP matching), Neo4j graph database, deduplication pipeline</w:t>
            </w:r>
          </w:p>
        </w:tc>
      </w:tr>
      <w:tr>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3. On-Chain Analytics</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Trace hops, cluster exchange deposits, track cross-chain movement</w:t>
            </w:r>
          </w:p>
        </w:tc>
        <w:tc>
          <w:tcPr>
            <w:tcW w:type="dxa" w:w="3600"/>
            <w:shd w:fill="F2F2F2" w:val="clear"/>
            <w:tcMar>
              <w:top w:type="dxa" w:w="80"/>
              <w:left w:type="dxa" w:w="100"/>
              <w:bottom w:type="dxa" w:w="80"/>
              <w:right w:type="dxa" w:w="100"/>
            </w:tcMar>
          </w:tcPr>
          <w:p>
            <w:pPr>
              <w:jc w:val="left"/>
            </w:pPr>
            <w:r>
              <w:rPr>
                <w:b w:val="false"/>
                <w:bCs w:val="false"/>
                <w:color w:val="000000"/>
                <w:sz w:val="19"/>
                <w:szCs w:val="19"/>
              </w:rPr>
              <w:t xml:space="preserve">Heuristic clustering, bridge/mixer detection, multi-chain indexers</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4. Predictive Shadow-Cluster</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Fingerprint syndicates, score new wallets in real time</w:t>
            </w:r>
          </w:p>
        </w:tc>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Behavioural ML model, streaming scorer on new transactions</w:t>
            </w:r>
          </w:p>
        </w:tc>
      </w:tr>
      <w:tr>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5. Risk Scoring &amp; Alerting</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Rank and route findings</w:t>
            </w:r>
          </w:p>
        </w:tc>
        <w:tc>
          <w:tcPr>
            <w:tcW w:type="dxa" w:w="3600"/>
            <w:shd w:fill="F2F2F2" w:val="clear"/>
            <w:tcMar>
              <w:top w:type="dxa" w:w="80"/>
              <w:left w:type="dxa" w:w="100"/>
              <w:bottom w:type="dxa" w:w="80"/>
              <w:right w:type="dxa" w:w="100"/>
            </w:tcMar>
          </w:tcPr>
          <w:p>
            <w:pPr>
              <w:jc w:val="left"/>
            </w:pPr>
            <w:r>
              <w:rPr>
                <w:b w:val="false"/>
                <w:bCs w:val="false"/>
                <w:color w:val="000000"/>
                <w:sz w:val="19"/>
                <w:szCs w:val="19"/>
              </w:rPr>
              <w:t xml:space="preserve">Composite risk score, alert queue, priority routing</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6. Investigator Interface</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Visualise the fused graph, manage cases</w:t>
            </w:r>
          </w:p>
        </w:tc>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Web dashboard, fund-flow visualisation, case notes</w:t>
            </w:r>
          </w:p>
        </w:tc>
      </w:tr>
      <w:tr>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7. Legal Automation &amp; Integration</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Auto-draft legal requests, push to existing LEA systems</w:t>
            </w:r>
          </w:p>
        </w:tc>
        <w:tc>
          <w:tcPr>
            <w:tcW w:type="dxa" w:w="3600"/>
            <w:shd w:fill="F2F2F2" w:val="clear"/>
            <w:tcMar>
              <w:top w:type="dxa" w:w="80"/>
              <w:left w:type="dxa" w:w="100"/>
              <w:bottom w:type="dxa" w:w="80"/>
              <w:right w:type="dxa" w:w="100"/>
            </w:tcMar>
          </w:tcPr>
          <w:p>
            <w:pPr>
              <w:jc w:val="left"/>
            </w:pPr>
            <w:r>
              <w:rPr>
                <w:b w:val="false"/>
                <w:bCs w:val="false"/>
                <w:color w:val="000000"/>
                <w:sz w:val="19"/>
                <w:szCs w:val="19"/>
              </w:rPr>
              <w:t xml:space="preserve">Sahyog/CFCFRMS-format generator, secure API integration</w:t>
            </w:r>
          </w:p>
        </w:tc>
      </w:tr>
    </w:tbl>
    <w:p>
      <w:pPr>
        <w:pStyle w:val="Heading2"/>
        <w:spacing w:after="120" w:before="300"/>
      </w:pPr>
      <w:r>
        <w:rPr>
          <w:b/>
          <w:bCs/>
          <w:color w:val="B7791F"/>
          <w:sz w:val="24"/>
          <w:szCs w:val="24"/>
        </w:rPr>
        <w:t xml:space="preserve">6.2 Data Flow (Narrative)</w:t>
      </w:r>
    </w:p>
    <w:p>
      <w:pPr>
        <w:spacing w:after="160" w:line="300"/>
        <w:jc w:val="both"/>
      </w:pPr>
      <w:r>
        <w:rPr>
          <w:sz w:val="21"/>
          <w:szCs w:val="21"/>
        </w:rPr>
        <w:t xml:space="preserve">A victim complaint enters NCRP with a wallet address (structured or as free text/screenshot). SUTRA's ingestion layer extracts and validates the address, and in parallel pulls any linked bank/UPI mule-account flag already associated with that complaint (India's cyber-fraud reporting flow already captures the originating bank transaction in most cases). The fusion layer resolves this into existing graph entities — checking whether the mule account, phone number, or recruiter handle has appeared in any prior case. The on-chain analytics layer traces the wallet forward to its exit exchange, while the shadow-cluster engine simultaneously checks whether this wallet's behavioural signature matches any previously fingerprinted syndicate — and if so, immediately surfaces every other wallet under that fingerprint, complained-about or not. The dashboard presents investigators with one syndicate-level map instead of a single wallet's hop list, and the automation layer offers a ready-to-file Sahyog request for the exit exchange.</w:t>
      </w:r>
    </w:p>
    <w:p>
      <w:pPr>
        <w:pStyle w:val="Heading1"/>
        <w:pBdr>
          <w:bottom w:val="single" w:color="1F3864" w:sz="8" w:space="4"/>
        </w:pBdr>
        <w:spacing w:after="200" w:before="400"/>
      </w:pPr>
      <w:r>
        <w:rPr>
          <w:b/>
          <w:bCs/>
          <w:color w:val="1F3864"/>
          <w:sz w:val="30"/>
          <w:szCs w:val="30"/>
        </w:rPr>
        <w:t xml:space="preserve">7. Technology Stack and Data Sources</w:t>
      </w:r>
    </w:p>
    <w:p>
      <w:pPr>
        <w:pStyle w:val="Heading2"/>
        <w:spacing w:after="120" w:before="300"/>
      </w:pPr>
      <w:r>
        <w:rPr>
          <w:b/>
          <w:bCs/>
          <w:color w:val="B7791F"/>
          <w:sz w:val="24"/>
          <w:szCs w:val="24"/>
        </w:rPr>
        <w:t xml:space="preserve">7.1 Technology Stack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100"/>
      </w:tblGrid>
      <w:tr>
        <w:trPr>
          <w:tblHeader/>
        </w:trPr>
        <w:tc>
          <w:tcPr>
            <w:tcW w:type="dxa" w:w="2100"/>
            <w:shd w:fill="1F3864" w:val="clear"/>
            <w:tcMar>
              <w:top w:type="dxa" w:w="80"/>
              <w:left w:type="dxa" w:w="100"/>
              <w:bottom w:type="dxa" w:w="80"/>
              <w:right w:type="dxa" w:w="100"/>
            </w:tcMar>
          </w:tcPr>
          <w:p>
            <w:pPr>
              <w:jc w:val="center"/>
            </w:pPr>
            <w:r>
              <w:rPr>
                <w:b/>
                <w:bCs/>
                <w:color w:val="FFFFFF"/>
                <w:sz w:val="19"/>
                <w:szCs w:val="19"/>
              </w:rPr>
              <w:t xml:space="preserve">Component</w:t>
            </w:r>
          </w:p>
        </w:tc>
        <w:tc>
          <w:tcPr>
            <w:tcW w:type="dxa" w:w="3600"/>
            <w:shd w:fill="1F3864" w:val="clear"/>
            <w:tcMar>
              <w:top w:type="dxa" w:w="80"/>
              <w:left w:type="dxa" w:w="100"/>
              <w:bottom w:type="dxa" w:w="80"/>
              <w:right w:type="dxa" w:w="100"/>
            </w:tcMar>
          </w:tcPr>
          <w:p>
            <w:pPr>
              <w:jc w:val="center"/>
            </w:pPr>
            <w:r>
              <w:rPr>
                <w:b/>
                <w:bCs/>
                <w:color w:val="FFFFFF"/>
                <w:sz w:val="19"/>
                <w:szCs w:val="19"/>
              </w:rPr>
              <w:t xml:space="preserve">Suggested Technology</w:t>
            </w:r>
          </w:p>
        </w:tc>
        <w:tc>
          <w:tcPr>
            <w:tcW w:type="dxa" w:w="3100"/>
            <w:shd w:fill="1F3864" w:val="clear"/>
            <w:tcMar>
              <w:top w:type="dxa" w:w="80"/>
              <w:left w:type="dxa" w:w="100"/>
              <w:bottom w:type="dxa" w:w="80"/>
              <w:right w:type="dxa" w:w="100"/>
            </w:tcMar>
          </w:tcPr>
          <w:p>
            <w:pPr>
              <w:jc w:val="center"/>
            </w:pPr>
            <w:r>
              <w:rPr>
                <w:b/>
                <w:bCs/>
                <w:color w:val="FFFFFF"/>
                <w:sz w:val="19"/>
                <w:szCs w:val="19"/>
              </w:rPr>
              <w:t xml:space="preserve">Notes</w:t>
            </w:r>
          </w:p>
        </w:tc>
      </w:tr>
      <w:tr>
        <w:tc>
          <w:tcPr>
            <w:tcW w:type="dxa" w:w="2100"/>
            <w:shd w:fill="F2F2F2" w:val="clear"/>
            <w:tcMar>
              <w:top w:type="dxa" w:w="80"/>
              <w:left w:type="dxa" w:w="100"/>
              <w:bottom w:type="dxa" w:w="80"/>
              <w:right w:type="dxa" w:w="100"/>
            </w:tcMar>
          </w:tcPr>
          <w:p>
            <w:pPr>
              <w:jc w:val="left"/>
            </w:pPr>
            <w:r>
              <w:rPr>
                <w:b w:val="false"/>
                <w:bCs w:val="false"/>
                <w:color w:val="000000"/>
                <w:sz w:val="19"/>
                <w:szCs w:val="19"/>
              </w:rPr>
              <w:t xml:space="preserve">Graph database</w:t>
            </w:r>
          </w:p>
        </w:tc>
        <w:tc>
          <w:tcPr>
            <w:tcW w:type="dxa" w:w="3600"/>
            <w:shd w:fill="F2F2F2" w:val="clear"/>
            <w:tcMar>
              <w:top w:type="dxa" w:w="80"/>
              <w:left w:type="dxa" w:w="100"/>
              <w:bottom w:type="dxa" w:w="80"/>
              <w:right w:type="dxa" w:w="100"/>
            </w:tcMar>
          </w:tcPr>
          <w:p>
            <w:pPr>
              <w:jc w:val="left"/>
            </w:pPr>
            <w:r>
              <w:rPr>
                <w:b w:val="false"/>
                <w:bCs w:val="false"/>
                <w:color w:val="000000"/>
                <w:sz w:val="19"/>
                <w:szCs w:val="19"/>
              </w:rPr>
              <w:t xml:space="preserve">Neo4j (Community Edition)</w:t>
            </w:r>
          </w:p>
        </w:tc>
        <w:tc>
          <w:tcPr>
            <w:tcW w:type="dxa" w:w="3100"/>
            <w:shd w:fill="F2F2F2" w:val="clear"/>
            <w:tcMar>
              <w:top w:type="dxa" w:w="80"/>
              <w:left w:type="dxa" w:w="100"/>
              <w:bottom w:type="dxa" w:w="80"/>
              <w:right w:type="dxa" w:w="100"/>
            </w:tcMar>
          </w:tcPr>
          <w:p>
            <w:pPr>
              <w:jc w:val="left"/>
            </w:pPr>
            <w:r>
              <w:rPr>
                <w:b w:val="false"/>
                <w:bCs w:val="false"/>
                <w:color w:val="000000"/>
                <w:sz w:val="19"/>
                <w:szCs w:val="19"/>
              </w:rPr>
              <w:t xml:space="preserve">Free tier sufficient for prototype; supports Cypher queries for path analysis</w:t>
            </w:r>
          </w:p>
        </w:tc>
      </w:tr>
      <w:tr>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Backend / API layer</w:t>
            </w:r>
          </w:p>
        </w:tc>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Python (FastAPI) or Node.js</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Serves graph queries, risk scores, report generation</w:t>
            </w:r>
          </w:p>
        </w:tc>
      </w:tr>
      <w:tr>
        <w:tc>
          <w:tcPr>
            <w:tcW w:type="dxa" w:w="2100"/>
            <w:shd w:fill="F2F2F2" w:val="clear"/>
            <w:tcMar>
              <w:top w:type="dxa" w:w="80"/>
              <w:left w:type="dxa" w:w="100"/>
              <w:bottom w:type="dxa" w:w="80"/>
              <w:right w:type="dxa" w:w="100"/>
            </w:tcMar>
          </w:tcPr>
          <w:p>
            <w:pPr>
              <w:jc w:val="left"/>
            </w:pPr>
            <w:r>
              <w:rPr>
                <w:b w:val="false"/>
                <w:bCs w:val="false"/>
                <w:color w:val="000000"/>
                <w:sz w:val="19"/>
                <w:szCs w:val="19"/>
              </w:rPr>
              <w:t xml:space="preserve">On-chain data access</w:t>
            </w:r>
          </w:p>
        </w:tc>
        <w:tc>
          <w:tcPr>
            <w:tcW w:type="dxa" w:w="3600"/>
            <w:shd w:fill="F2F2F2" w:val="clear"/>
            <w:tcMar>
              <w:top w:type="dxa" w:w="80"/>
              <w:left w:type="dxa" w:w="100"/>
              <w:bottom w:type="dxa" w:w="80"/>
              <w:right w:type="dxa" w:w="100"/>
            </w:tcMar>
          </w:tcPr>
          <w:p>
            <w:pPr>
              <w:jc w:val="left"/>
            </w:pPr>
            <w:r>
              <w:rPr>
                <w:b w:val="false"/>
                <w:bCs w:val="false"/>
                <w:color w:val="000000"/>
                <w:sz w:val="19"/>
                <w:szCs w:val="19"/>
              </w:rPr>
              <w:t xml:space="preserve">Etherscan/Blockchair/Bitquery APIs, GraphSense (open-source)</w:t>
            </w:r>
          </w:p>
        </w:tc>
        <w:tc>
          <w:tcPr>
            <w:tcW w:type="dxa" w:w="3100"/>
            <w:shd w:fill="F2F2F2" w:val="clear"/>
            <w:tcMar>
              <w:top w:type="dxa" w:w="80"/>
              <w:left w:type="dxa" w:w="100"/>
              <w:bottom w:type="dxa" w:w="80"/>
              <w:right w:type="dxa" w:w="100"/>
            </w:tcMar>
          </w:tcPr>
          <w:p>
            <w:pPr>
              <w:jc w:val="left"/>
            </w:pPr>
            <w:r>
              <w:rPr>
                <w:b w:val="false"/>
                <w:bCs w:val="false"/>
                <w:color w:val="000000"/>
                <w:sz w:val="19"/>
                <w:szCs w:val="19"/>
              </w:rPr>
              <w:t xml:space="preserve">Free-tier API keys sufficient for MVP; GraphSense is fully open-source for clustering heuristics</w:t>
            </w:r>
          </w:p>
        </w:tc>
      </w:tr>
      <w:tr>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ML — entity resolution</w:t>
            </w:r>
          </w:p>
        </w:tc>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Python, scikit-learn / spaCy (for name/handle matching)</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Fuzzy matching on phone numbers, handles, device IDs</w:t>
            </w:r>
          </w:p>
        </w:tc>
      </w:tr>
      <w:tr>
        <w:tc>
          <w:tcPr>
            <w:tcW w:type="dxa" w:w="2100"/>
            <w:shd w:fill="F2F2F2" w:val="clear"/>
            <w:tcMar>
              <w:top w:type="dxa" w:w="80"/>
              <w:left w:type="dxa" w:w="100"/>
              <w:bottom w:type="dxa" w:w="80"/>
              <w:right w:type="dxa" w:w="100"/>
            </w:tcMar>
          </w:tcPr>
          <w:p>
            <w:pPr>
              <w:jc w:val="left"/>
            </w:pPr>
            <w:r>
              <w:rPr>
                <w:b w:val="false"/>
                <w:bCs w:val="false"/>
                <w:color w:val="000000"/>
                <w:sz w:val="19"/>
                <w:szCs w:val="19"/>
              </w:rPr>
              <w:t xml:space="preserve">ML — shadow-cluster fingerprinting</w:t>
            </w:r>
          </w:p>
        </w:tc>
        <w:tc>
          <w:tcPr>
            <w:tcW w:type="dxa" w:w="3600"/>
            <w:shd w:fill="F2F2F2" w:val="clear"/>
            <w:tcMar>
              <w:top w:type="dxa" w:w="80"/>
              <w:left w:type="dxa" w:w="100"/>
              <w:bottom w:type="dxa" w:w="80"/>
              <w:right w:type="dxa" w:w="100"/>
            </w:tcMar>
          </w:tcPr>
          <w:p>
            <w:pPr>
              <w:jc w:val="left"/>
            </w:pPr>
            <w:r>
              <w:rPr>
                <w:b w:val="false"/>
                <w:bCs w:val="false"/>
                <w:color w:val="000000"/>
                <w:sz w:val="19"/>
                <w:szCs w:val="19"/>
              </w:rPr>
              <w:t xml:space="preserve">Python, XGBoost / a graph neural network (e.g., PyTorch Geometric)</w:t>
            </w:r>
          </w:p>
        </w:tc>
        <w:tc>
          <w:tcPr>
            <w:tcW w:type="dxa" w:w="3100"/>
            <w:shd w:fill="F2F2F2" w:val="clear"/>
            <w:tcMar>
              <w:top w:type="dxa" w:w="80"/>
              <w:left w:type="dxa" w:w="100"/>
              <w:bottom w:type="dxa" w:w="80"/>
              <w:right w:type="dxa" w:w="100"/>
            </w:tcMar>
          </w:tcPr>
          <w:p>
            <w:pPr>
              <w:jc w:val="left"/>
            </w:pPr>
            <w:r>
              <w:rPr>
                <w:b w:val="false"/>
                <w:bCs w:val="false"/>
                <w:color w:val="000000"/>
                <w:sz w:val="19"/>
                <w:szCs w:val="19"/>
              </w:rPr>
              <w:t xml:space="preserve">Behavioural feature engineering: timing, funding source reuse, off-ramp choice</w:t>
            </w:r>
          </w:p>
        </w:tc>
      </w:tr>
      <w:tr>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Frontend / dashboard</w:t>
            </w:r>
          </w:p>
        </w:tc>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React + a graph-visualisation library (e.g., Cytoscape.js or D3)</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Fund-flow visualisation, case management views</w:t>
            </w:r>
          </w:p>
        </w:tc>
      </w:tr>
      <w:tr>
        <w:tc>
          <w:tcPr>
            <w:tcW w:type="dxa" w:w="2100"/>
            <w:shd w:fill="F2F2F2" w:val="clear"/>
            <w:tcMar>
              <w:top w:type="dxa" w:w="80"/>
              <w:left w:type="dxa" w:w="100"/>
              <w:bottom w:type="dxa" w:w="80"/>
              <w:right w:type="dxa" w:w="100"/>
            </w:tcMar>
          </w:tcPr>
          <w:p>
            <w:pPr>
              <w:jc w:val="left"/>
            </w:pPr>
            <w:r>
              <w:rPr>
                <w:b w:val="false"/>
                <w:bCs w:val="false"/>
                <w:color w:val="000000"/>
                <w:sz w:val="19"/>
                <w:szCs w:val="19"/>
              </w:rPr>
              <w:t xml:space="preserve">Document generation</w:t>
            </w:r>
          </w:p>
        </w:tc>
        <w:tc>
          <w:tcPr>
            <w:tcW w:type="dxa" w:w="3600"/>
            <w:shd w:fill="F2F2F2" w:val="clear"/>
            <w:tcMar>
              <w:top w:type="dxa" w:w="80"/>
              <w:left w:type="dxa" w:w="100"/>
              <w:bottom w:type="dxa" w:w="80"/>
              <w:right w:type="dxa" w:w="100"/>
            </w:tcMar>
          </w:tcPr>
          <w:p>
            <w:pPr>
              <w:jc w:val="left"/>
            </w:pPr>
            <w:r>
              <w:rPr>
                <w:b w:val="false"/>
                <w:bCs w:val="false"/>
                <w:color w:val="000000"/>
                <w:sz w:val="19"/>
                <w:szCs w:val="19"/>
              </w:rPr>
              <w:t xml:space="preserve">Python (python-docx) or docx templating</w:t>
            </w:r>
          </w:p>
        </w:tc>
        <w:tc>
          <w:tcPr>
            <w:tcW w:type="dxa" w:w="3100"/>
            <w:shd w:fill="F2F2F2" w:val="clear"/>
            <w:tcMar>
              <w:top w:type="dxa" w:w="80"/>
              <w:left w:type="dxa" w:w="100"/>
              <w:bottom w:type="dxa" w:w="80"/>
              <w:right w:type="dxa" w:w="100"/>
            </w:tcMar>
          </w:tcPr>
          <w:p>
            <w:pPr>
              <w:jc w:val="left"/>
            </w:pPr>
            <w:r>
              <w:rPr>
                <w:b w:val="false"/>
                <w:bCs w:val="false"/>
                <w:color w:val="000000"/>
                <w:sz w:val="19"/>
                <w:szCs w:val="19"/>
              </w:rPr>
              <w:t xml:space="preserve">Auto-fills Sahyog/CFCFRMS-format legal request</w:t>
            </w:r>
          </w:p>
        </w:tc>
      </w:tr>
      <w:tr>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Deployment (prototype)</w:t>
            </w:r>
          </w:p>
        </w:tc>
        <w:tc>
          <w:tcPr>
            <w:tcW w:type="dxa" w:w="3600"/>
            <w:shd w:fill="FFFFFF" w:val="clear"/>
            <w:tcMar>
              <w:top w:type="dxa" w:w="80"/>
              <w:left w:type="dxa" w:w="100"/>
              <w:bottom w:type="dxa" w:w="80"/>
              <w:right w:type="dxa" w:w="100"/>
            </w:tcMar>
          </w:tcPr>
          <w:p>
            <w:pPr>
              <w:jc w:val="left"/>
            </w:pPr>
            <w:r>
              <w:rPr>
                <w:b w:val="false"/>
                <w:bCs w:val="false"/>
                <w:color w:val="000000"/>
                <w:sz w:val="19"/>
                <w:szCs w:val="19"/>
              </w:rPr>
              <w:t xml:space="preserve">Docker Compose, single cloud VM</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Sufficient for hackathon/pilot scale</w:t>
            </w:r>
          </w:p>
        </w:tc>
      </w:tr>
    </w:tbl>
    <w:p>
      <w:pPr>
        <w:pStyle w:val="Heading2"/>
        <w:spacing w:after="120" w:before="300"/>
      </w:pPr>
      <w:r>
        <w:rPr>
          <w:b/>
          <w:bCs/>
          <w:color w:val="B7791F"/>
          <w:sz w:val="24"/>
          <w:szCs w:val="24"/>
        </w:rPr>
        <w:t xml:space="preserve">7.2 Where the Data Comes From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shd w:fill="1F3864" w:val="clear"/>
            <w:tcMar>
              <w:top w:type="dxa" w:w="80"/>
              <w:left w:type="dxa" w:w="100"/>
              <w:bottom w:type="dxa" w:w="80"/>
              <w:right w:type="dxa" w:w="100"/>
            </w:tcMar>
          </w:tcPr>
          <w:p>
            <w:pPr>
              <w:jc w:val="center"/>
            </w:pPr>
            <w:r>
              <w:rPr>
                <w:b/>
                <w:bCs/>
                <w:color w:val="FFFFFF"/>
                <w:sz w:val="19"/>
                <w:szCs w:val="19"/>
              </w:rPr>
              <w:t xml:space="preserve">Data Need</w:t>
            </w:r>
          </w:p>
        </w:tc>
        <w:tc>
          <w:tcPr>
            <w:tcW w:type="dxa" w:w="3300"/>
            <w:shd w:fill="1F3864" w:val="clear"/>
            <w:tcMar>
              <w:top w:type="dxa" w:w="80"/>
              <w:left w:type="dxa" w:w="100"/>
              <w:bottom w:type="dxa" w:w="80"/>
              <w:right w:type="dxa" w:w="100"/>
            </w:tcMar>
          </w:tcPr>
          <w:p>
            <w:pPr>
              <w:jc w:val="center"/>
            </w:pPr>
            <w:r>
              <w:rPr>
                <w:b/>
                <w:bCs/>
                <w:color w:val="FFFFFF"/>
                <w:sz w:val="19"/>
                <w:szCs w:val="19"/>
              </w:rPr>
              <w:t xml:space="preserve">Realistic Source</w:t>
            </w:r>
          </w:p>
        </w:tc>
        <w:tc>
          <w:tcPr>
            <w:tcW w:type="dxa" w:w="3300"/>
            <w:shd w:fill="1F3864" w:val="clear"/>
            <w:tcMar>
              <w:top w:type="dxa" w:w="80"/>
              <w:left w:type="dxa" w:w="100"/>
              <w:bottom w:type="dxa" w:w="80"/>
              <w:right w:type="dxa" w:w="100"/>
            </w:tcMar>
          </w:tcPr>
          <w:p>
            <w:pPr>
              <w:jc w:val="center"/>
            </w:pPr>
            <w:r>
              <w:rPr>
                <w:b/>
                <w:bCs/>
                <w:color w:val="FFFFFF"/>
                <w:sz w:val="19"/>
                <w:szCs w:val="19"/>
              </w:rPr>
              <w:t xml:space="preserve">Hackathon-Stage Substitute</w:t>
            </w:r>
          </w:p>
        </w:tc>
      </w:tr>
      <w:tr>
        <w:tc>
          <w:tcPr>
            <w:tcW w:type="dxa" w:w="2200"/>
            <w:shd w:fill="F2F2F2" w:val="clear"/>
            <w:tcMar>
              <w:top w:type="dxa" w:w="80"/>
              <w:left w:type="dxa" w:w="100"/>
              <w:bottom w:type="dxa" w:w="80"/>
              <w:right w:type="dxa" w:w="100"/>
            </w:tcMar>
          </w:tcPr>
          <w:p>
            <w:pPr>
              <w:jc w:val="left"/>
            </w:pPr>
            <w:r>
              <w:rPr>
                <w:b w:val="false"/>
                <w:bCs w:val="false"/>
                <w:color w:val="000000"/>
                <w:sz w:val="19"/>
                <w:szCs w:val="19"/>
              </w:rPr>
              <w:t xml:space="preserve">Victim complaint + wallet address</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NCRP / I4C (requires MoU for production access)</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Self-authored sample complaint dataset (JSON/CSV)</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On-chain transaction data</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Etherscan, Blockchair, Bitquery, public RPC nodes</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Same — these are free/public today</w:t>
            </w:r>
          </w:p>
        </w:tc>
      </w:tr>
      <w:tr>
        <w:tc>
          <w:tcPr>
            <w:tcW w:type="dxa" w:w="2200"/>
            <w:shd w:fill="F2F2F2" w:val="clear"/>
            <w:tcMar>
              <w:top w:type="dxa" w:w="80"/>
              <w:left w:type="dxa" w:w="100"/>
              <w:bottom w:type="dxa" w:w="80"/>
              <w:right w:type="dxa" w:w="100"/>
            </w:tcMar>
          </w:tcPr>
          <w:p>
            <w:pPr>
              <w:jc w:val="left"/>
            </w:pPr>
            <w:r>
              <w:rPr>
                <w:b w:val="false"/>
                <w:bCs w:val="false"/>
                <w:color w:val="000000"/>
                <w:sz w:val="19"/>
                <w:szCs w:val="19"/>
              </w:rPr>
              <w:t xml:space="preserve">Known scam wallet lists</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Chainabuse, CryptoScamDB, ScamSniffer — public, community-maintained</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Same — directly usable, no MoU needed</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Mule bank/UPI flags</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RBI/bank SCORES-linked fraud data, NCRP-linked bank reports (requires formal LEA/bank MoU)</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Synthetic mule-account dataset generated to demonstrate the fusion logic</w:t>
            </w:r>
          </w:p>
        </w:tc>
      </w:tr>
      <w:tr>
        <w:tc>
          <w:tcPr>
            <w:tcW w:type="dxa" w:w="2200"/>
            <w:shd w:fill="F2F2F2" w:val="clear"/>
            <w:tcMar>
              <w:top w:type="dxa" w:w="80"/>
              <w:left w:type="dxa" w:w="100"/>
              <w:bottom w:type="dxa" w:w="80"/>
              <w:right w:type="dxa" w:w="100"/>
            </w:tcMar>
          </w:tcPr>
          <w:p>
            <w:pPr>
              <w:jc w:val="left"/>
            </w:pPr>
            <w:r>
              <w:rPr>
                <w:b w:val="false"/>
                <w:bCs w:val="false"/>
                <w:color w:val="000000"/>
                <w:sz w:val="19"/>
                <w:szCs w:val="19"/>
              </w:rPr>
              <w:t xml:space="preserve">Telecom SIM-fraud registry</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DoT/TRAI-linked fraud SIM database (requires MoU)</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Synthetic/sample dataset</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Recruiter/social OSINT data</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Public Telegram/WhatsApp channel scraping (cyber-patrol assisted)</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Small manually-curated sample set of public scam-recruitment posts</w:t>
            </w:r>
          </w:p>
        </w:tc>
      </w:tr>
      <w:tr>
        <w:tc>
          <w:tcPr>
            <w:tcW w:type="dxa" w:w="2200"/>
            <w:shd w:fill="F2F2F2" w:val="clear"/>
            <w:tcMar>
              <w:top w:type="dxa" w:w="80"/>
              <w:left w:type="dxa" w:w="100"/>
              <w:bottom w:type="dxa" w:w="80"/>
              <w:right w:type="dxa" w:w="100"/>
            </w:tcMar>
          </w:tcPr>
          <w:p>
            <w:pPr>
              <w:jc w:val="left"/>
            </w:pPr>
            <w:r>
              <w:rPr>
                <w:b w:val="false"/>
                <w:bCs w:val="false"/>
                <w:color w:val="000000"/>
                <w:sz w:val="19"/>
                <w:szCs w:val="19"/>
              </w:rPr>
              <w:t xml:space="preserve">Sahyog/CFCFRMS request format</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Published SOP (Jan 2026) format fields</w:t>
            </w:r>
          </w:p>
        </w:tc>
        <w:tc>
          <w:tcPr>
            <w:tcW w:type="dxa" w:w="3300"/>
            <w:shd w:fill="F2F2F2" w:val="clear"/>
            <w:tcMar>
              <w:top w:type="dxa" w:w="80"/>
              <w:left w:type="dxa" w:w="100"/>
              <w:bottom w:type="dxa" w:w="80"/>
              <w:right w:type="dxa" w:w="100"/>
            </w:tcMar>
          </w:tcPr>
          <w:p>
            <w:pPr>
              <w:jc w:val="left"/>
            </w:pPr>
            <w:r>
              <w:rPr>
                <w:b w:val="false"/>
                <w:bCs w:val="false"/>
                <w:color w:val="000000"/>
                <w:sz w:val="19"/>
                <w:szCs w:val="19"/>
              </w:rPr>
              <w:t xml:space="preserve">Recreate the field structure from public SOP documentation for the auto-generator template</w:t>
            </w:r>
          </w:p>
        </w:tc>
      </w:tr>
    </w:tbl>
    <w:p>
      <w:pPr>
        <w:spacing w:after="160" w:line="300"/>
        <w:jc w:val="both"/>
      </w:pPr>
      <w:r>
        <w:rPr>
          <w:sz w:val="21"/>
          <w:szCs w:val="21"/>
        </w:rPr>
        <w:t xml:space="preserve">The critical point for a hackathon build: every component of Pillar A (fusion) and Pillar B (prediction) can be demonstrated convincingly using public blockchain data plus a small, clearly-labelled synthetic fiat-rail dataset, without needing live access to restricted bank/UPI/telecom data. The production roadmap in Section 9 shows exactly where formal data-sharing MoUs become necessary.</w:t>
      </w:r>
    </w:p>
    <w:p>
      <w:r>
        <w:br w:type="page"/>
      </w:r>
    </w:p>
    <w:p>
      <w:pPr>
        <w:pStyle w:val="Heading1"/>
        <w:pBdr>
          <w:bottom w:val="single" w:color="1F3864" w:sz="8" w:space="4"/>
        </w:pBdr>
        <w:spacing w:after="200" w:before="400"/>
      </w:pPr>
      <w:r>
        <w:rPr>
          <w:b/>
          <w:bCs/>
          <w:color w:val="1F3864"/>
          <w:sz w:val="30"/>
          <w:szCs w:val="30"/>
        </w:rPr>
        <w:t xml:space="preserve">8. Step-by-Step Roadmap (Concept to Production)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900"/>
        <w:gridCol w:w="2900"/>
        <w:gridCol w:w="1700"/>
      </w:tblGrid>
      <w:tr>
        <w:trPr>
          <w:tblHeader/>
        </w:trPr>
        <w:tc>
          <w:tcPr>
            <w:tcW w:type="dxa" w:w="1500"/>
            <w:shd w:fill="1F3864" w:val="clear"/>
            <w:tcMar>
              <w:top w:type="dxa" w:w="80"/>
              <w:left w:type="dxa" w:w="100"/>
              <w:bottom w:type="dxa" w:w="80"/>
              <w:right w:type="dxa" w:w="100"/>
            </w:tcMar>
          </w:tcPr>
          <w:p>
            <w:pPr>
              <w:jc w:val="center"/>
            </w:pPr>
            <w:r>
              <w:rPr>
                <w:b/>
                <w:bCs/>
                <w:color w:val="FFFFFF"/>
                <w:sz w:val="19"/>
                <w:szCs w:val="19"/>
              </w:rPr>
              <w:t xml:space="preserve">Phase</w:t>
            </w:r>
          </w:p>
        </w:tc>
        <w:tc>
          <w:tcPr>
            <w:tcW w:type="dxa" w:w="1600"/>
            <w:shd w:fill="1F3864" w:val="clear"/>
            <w:tcMar>
              <w:top w:type="dxa" w:w="80"/>
              <w:left w:type="dxa" w:w="100"/>
              <w:bottom w:type="dxa" w:w="80"/>
              <w:right w:type="dxa" w:w="100"/>
            </w:tcMar>
          </w:tcPr>
          <w:p>
            <w:pPr>
              <w:jc w:val="center"/>
            </w:pPr>
            <w:r>
              <w:rPr>
                <w:b/>
                <w:bCs/>
                <w:color w:val="FFFFFF"/>
                <w:sz w:val="19"/>
                <w:szCs w:val="19"/>
              </w:rPr>
              <w:t xml:space="preserve">Timeline</w:t>
            </w:r>
          </w:p>
        </w:tc>
        <w:tc>
          <w:tcPr>
            <w:tcW w:type="dxa" w:w="1900"/>
            <w:shd w:fill="1F3864" w:val="clear"/>
            <w:tcMar>
              <w:top w:type="dxa" w:w="80"/>
              <w:left w:type="dxa" w:w="100"/>
              <w:bottom w:type="dxa" w:w="80"/>
              <w:right w:type="dxa" w:w="100"/>
            </w:tcMar>
          </w:tcPr>
          <w:p>
            <w:pPr>
              <w:jc w:val="center"/>
            </w:pPr>
            <w:r>
              <w:rPr>
                <w:b/>
                <w:bCs/>
                <w:color w:val="FFFFFF"/>
                <w:sz w:val="19"/>
                <w:szCs w:val="19"/>
              </w:rPr>
              <w:t xml:space="preserve">Goal</w:t>
            </w:r>
          </w:p>
        </w:tc>
        <w:tc>
          <w:tcPr>
            <w:tcW w:type="dxa" w:w="2900"/>
            <w:shd w:fill="1F3864" w:val="clear"/>
            <w:tcMar>
              <w:top w:type="dxa" w:w="80"/>
              <w:left w:type="dxa" w:w="100"/>
              <w:bottom w:type="dxa" w:w="80"/>
              <w:right w:type="dxa" w:w="100"/>
            </w:tcMar>
          </w:tcPr>
          <w:p>
            <w:pPr>
              <w:jc w:val="center"/>
            </w:pPr>
            <w:r>
              <w:rPr>
                <w:b/>
                <w:bCs/>
                <w:color w:val="FFFFFF"/>
                <w:sz w:val="19"/>
                <w:szCs w:val="19"/>
              </w:rPr>
              <w:t xml:space="preserve">Key Activities</w:t>
            </w:r>
          </w:p>
        </w:tc>
        <w:tc>
          <w:tcPr>
            <w:tcW w:type="dxa" w:w="1700"/>
            <w:shd w:fill="1F3864" w:val="clear"/>
            <w:tcMar>
              <w:top w:type="dxa" w:w="80"/>
              <w:left w:type="dxa" w:w="100"/>
              <w:bottom w:type="dxa" w:w="80"/>
              <w:right w:type="dxa" w:w="100"/>
            </w:tcMar>
          </w:tcPr>
          <w:p>
            <w:pPr>
              <w:jc w:val="center"/>
            </w:pPr>
            <w:r>
              <w:rPr>
                <w:b/>
                <w:bCs/>
                <w:color w:val="FFFFFF"/>
                <w:sz w:val="19"/>
                <w:szCs w:val="19"/>
              </w:rPr>
              <w:t xml:space="preserve">Resources Needed</w:t>
            </w:r>
          </w:p>
        </w:tc>
      </w:tr>
      <w:tr>
        <w:tc>
          <w:tcPr>
            <w:tcW w:type="dxa" w:w="1500"/>
            <w:shd w:fill="F2F2F2" w:val="clear"/>
            <w:tcMar>
              <w:top w:type="dxa" w:w="80"/>
              <w:left w:type="dxa" w:w="100"/>
              <w:bottom w:type="dxa" w:w="80"/>
              <w:right w:type="dxa" w:w="100"/>
            </w:tcMar>
          </w:tcPr>
          <w:p>
            <w:pPr>
              <w:jc w:val="left"/>
            </w:pPr>
            <w:r>
              <w:rPr>
                <w:b w:val="false"/>
                <w:bCs w:val="false"/>
                <w:color w:val="000000"/>
                <w:sz w:val="19"/>
                <w:szCs w:val="19"/>
              </w:rPr>
              <w:t xml:space="preserve">0. Research &amp; Design</w:t>
            </w:r>
          </w:p>
        </w:tc>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Weeks 1–2</w:t>
            </w:r>
          </w:p>
        </w:tc>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Validate approach, finalise schema</w:t>
            </w:r>
          </w:p>
        </w:tc>
        <w:tc>
          <w:tcPr>
            <w:tcW w:type="dxa" w:w="2900"/>
            <w:shd w:fill="F2F2F2" w:val="clear"/>
            <w:tcMar>
              <w:top w:type="dxa" w:w="80"/>
              <w:left w:type="dxa" w:w="100"/>
              <w:bottom w:type="dxa" w:w="80"/>
              <w:right w:type="dxa" w:w="100"/>
            </w:tcMar>
          </w:tcPr>
          <w:p>
            <w:pPr>
              <w:jc w:val="left"/>
            </w:pPr>
            <w:r>
              <w:rPr>
                <w:b w:val="false"/>
                <w:bCs w:val="false"/>
                <w:color w:val="000000"/>
                <w:sz w:val="19"/>
                <w:szCs w:val="19"/>
              </w:rPr>
              <w:t xml:space="preserve">Study Sahyog SOP fields; design fused graph schema; identify public data sources</w:t>
            </w:r>
          </w:p>
        </w:tc>
        <w:tc>
          <w:tcPr>
            <w:tcW w:type="dxa" w:w="1700"/>
            <w:shd w:fill="F2F2F2" w:val="clear"/>
            <w:tcMar>
              <w:top w:type="dxa" w:w="80"/>
              <w:left w:type="dxa" w:w="100"/>
              <w:bottom w:type="dxa" w:w="80"/>
              <w:right w:type="dxa" w:w="100"/>
            </w:tcMar>
          </w:tcPr>
          <w:p>
            <w:pPr>
              <w:jc w:val="left"/>
            </w:pPr>
            <w:r>
              <w:rPr>
                <w:b w:val="false"/>
                <w:bCs w:val="false"/>
                <w:color w:val="000000"/>
                <w:sz w:val="19"/>
                <w:szCs w:val="19"/>
              </w:rPr>
              <w:t xml:space="preserve">2 team members; access to public SOP docs</w:t>
            </w:r>
          </w:p>
        </w:tc>
      </w:tr>
      <w:tr>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1. MVP Build</w:t>
            </w:r>
          </w:p>
        </w:tc>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Weeks 3–6 (or 36-hr hackathon sprint)</w:t>
            </w:r>
          </w:p>
        </w:tc>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Working prototype on sample/public data</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Build ingestion + graph fusion + basic shadow-cluster scorer + dashboard</w:t>
            </w:r>
          </w:p>
        </w:tc>
        <w:tc>
          <w:tcPr>
            <w:tcW w:type="dxa" w:w="1700"/>
            <w:shd w:fill="FFFFFF" w:val="clear"/>
            <w:tcMar>
              <w:top w:type="dxa" w:w="80"/>
              <w:left w:type="dxa" w:w="100"/>
              <w:bottom w:type="dxa" w:w="80"/>
              <w:right w:type="dxa" w:w="100"/>
            </w:tcMar>
          </w:tcPr>
          <w:p>
            <w:pPr>
              <w:jc w:val="left"/>
            </w:pPr>
            <w:r>
              <w:rPr>
                <w:b w:val="false"/>
                <w:bCs w:val="false"/>
                <w:color w:val="000000"/>
                <w:sz w:val="19"/>
                <w:szCs w:val="19"/>
              </w:rPr>
              <w:t xml:space="preserve">Full team; cloud VM; free-tier blockchain APIs</w:t>
            </w:r>
          </w:p>
        </w:tc>
      </w:tr>
      <w:tr>
        <w:tc>
          <w:tcPr>
            <w:tcW w:type="dxa" w:w="1500"/>
            <w:shd w:fill="F2F2F2" w:val="clear"/>
            <w:tcMar>
              <w:top w:type="dxa" w:w="80"/>
              <w:left w:type="dxa" w:w="100"/>
              <w:bottom w:type="dxa" w:w="80"/>
              <w:right w:type="dxa" w:w="100"/>
            </w:tcMar>
          </w:tcPr>
          <w:p>
            <w:pPr>
              <w:jc w:val="left"/>
            </w:pPr>
            <w:r>
              <w:rPr>
                <w:b w:val="false"/>
                <w:bCs w:val="false"/>
                <w:color w:val="000000"/>
                <w:sz w:val="19"/>
                <w:szCs w:val="19"/>
              </w:rPr>
              <w:t xml:space="preserve">2. Controlled Pilot</w:t>
            </w:r>
          </w:p>
        </w:tc>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Months 2–4</w:t>
            </w:r>
          </w:p>
        </w:tc>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Validate against real (anonymised) case patterns</w:t>
            </w:r>
          </w:p>
        </w:tc>
        <w:tc>
          <w:tcPr>
            <w:tcW w:type="dxa" w:w="2900"/>
            <w:shd w:fill="F2F2F2" w:val="clear"/>
            <w:tcMar>
              <w:top w:type="dxa" w:w="80"/>
              <w:left w:type="dxa" w:w="100"/>
              <w:bottom w:type="dxa" w:w="80"/>
              <w:right w:type="dxa" w:w="100"/>
            </w:tcMar>
          </w:tcPr>
          <w:p>
            <w:pPr>
              <w:jc w:val="left"/>
            </w:pPr>
            <w:r>
              <w:rPr>
                <w:b w:val="false"/>
                <w:bCs w:val="false"/>
                <w:color w:val="000000"/>
                <w:sz w:val="19"/>
                <w:szCs w:val="19"/>
              </w:rPr>
              <w:t xml:space="preserve">Partner with one cyber-crime cell; test on closed historical cases with consent</w:t>
            </w:r>
          </w:p>
        </w:tc>
        <w:tc>
          <w:tcPr>
            <w:tcW w:type="dxa" w:w="1700"/>
            <w:shd w:fill="F2F2F2" w:val="clear"/>
            <w:tcMar>
              <w:top w:type="dxa" w:w="80"/>
              <w:left w:type="dxa" w:w="100"/>
              <w:bottom w:type="dxa" w:w="80"/>
              <w:right w:type="dxa" w:w="100"/>
            </w:tcMar>
          </w:tcPr>
          <w:p>
            <w:pPr>
              <w:jc w:val="left"/>
            </w:pPr>
            <w:r>
              <w:rPr>
                <w:b w:val="false"/>
                <w:bCs w:val="false"/>
                <w:color w:val="000000"/>
                <w:sz w:val="19"/>
                <w:szCs w:val="19"/>
              </w:rPr>
              <w:t xml:space="preserve">LEA pilot partner; anonymised historical case data</w:t>
            </w:r>
          </w:p>
        </w:tc>
      </w:tr>
      <w:tr>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3. Data-Sharing MoUs</w:t>
            </w:r>
          </w:p>
        </w:tc>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Months 3–6 (parallel)</w:t>
            </w:r>
          </w:p>
        </w:tc>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Formal access to fiat-rail data</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MoU with I4C for NCRP/CFCFRMS feed; MoU pathway with RBI/banks for mule-flag data (via LEA channel)</w:t>
            </w:r>
          </w:p>
        </w:tc>
        <w:tc>
          <w:tcPr>
            <w:tcW w:type="dxa" w:w="1700"/>
            <w:shd w:fill="FFFFFF" w:val="clear"/>
            <w:tcMar>
              <w:top w:type="dxa" w:w="80"/>
              <w:left w:type="dxa" w:w="100"/>
              <w:bottom w:type="dxa" w:w="80"/>
              <w:right w:type="dxa" w:w="100"/>
            </w:tcMar>
          </w:tcPr>
          <w:p>
            <w:pPr>
              <w:jc w:val="left"/>
            </w:pPr>
            <w:r>
              <w:rPr>
                <w:b w:val="false"/>
                <w:bCs w:val="false"/>
                <w:color w:val="000000"/>
                <w:sz w:val="19"/>
                <w:szCs w:val="19"/>
              </w:rPr>
              <w:t xml:space="preserve">Legal/policy liaison; institutional sponsor</w:t>
            </w:r>
          </w:p>
        </w:tc>
      </w:tr>
      <w:tr>
        <w:tc>
          <w:tcPr>
            <w:tcW w:type="dxa" w:w="1500"/>
            <w:shd w:fill="F2F2F2" w:val="clear"/>
            <w:tcMar>
              <w:top w:type="dxa" w:w="80"/>
              <w:left w:type="dxa" w:w="100"/>
              <w:bottom w:type="dxa" w:w="80"/>
              <w:right w:type="dxa" w:w="100"/>
            </w:tcMar>
          </w:tcPr>
          <w:p>
            <w:pPr>
              <w:jc w:val="left"/>
            </w:pPr>
            <w:r>
              <w:rPr>
                <w:b w:val="false"/>
                <w:bCs w:val="false"/>
                <w:color w:val="000000"/>
                <w:sz w:val="19"/>
                <w:szCs w:val="19"/>
              </w:rPr>
              <w:t xml:space="preserve">4. Model Refinement</w:t>
            </w:r>
          </w:p>
        </w:tc>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Months 4–7</w:t>
            </w:r>
          </w:p>
        </w:tc>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Improve shadow-cluster accuracy</w:t>
            </w:r>
          </w:p>
        </w:tc>
        <w:tc>
          <w:tcPr>
            <w:tcW w:type="dxa" w:w="2900"/>
            <w:shd w:fill="F2F2F2" w:val="clear"/>
            <w:tcMar>
              <w:top w:type="dxa" w:w="80"/>
              <w:left w:type="dxa" w:w="100"/>
              <w:bottom w:type="dxa" w:w="80"/>
              <w:right w:type="dxa" w:w="100"/>
            </w:tcMar>
          </w:tcPr>
          <w:p>
            <w:pPr>
              <w:jc w:val="left"/>
            </w:pPr>
            <w:r>
              <w:rPr>
                <w:b w:val="false"/>
                <w:bCs w:val="false"/>
                <w:color w:val="000000"/>
                <w:sz w:val="19"/>
                <w:szCs w:val="19"/>
              </w:rPr>
              <w:t xml:space="preserve">Retrain fingerprinting model on real (permissioned) case outcomes; add cross-chain/bridge coverage</w:t>
            </w:r>
          </w:p>
        </w:tc>
        <w:tc>
          <w:tcPr>
            <w:tcW w:type="dxa" w:w="1700"/>
            <w:shd w:fill="F2F2F2" w:val="clear"/>
            <w:tcMar>
              <w:top w:type="dxa" w:w="80"/>
              <w:left w:type="dxa" w:w="100"/>
              <w:bottom w:type="dxa" w:w="80"/>
              <w:right w:type="dxa" w:w="100"/>
            </w:tcMar>
          </w:tcPr>
          <w:p>
            <w:pPr>
              <w:jc w:val="left"/>
            </w:pPr>
            <w:r>
              <w:rPr>
                <w:b w:val="false"/>
                <w:bCs w:val="false"/>
                <w:color w:val="000000"/>
                <w:sz w:val="19"/>
                <w:szCs w:val="19"/>
              </w:rPr>
              <w:t xml:space="preserve">ML engineer; labelled case-outcome data</w:t>
            </w:r>
          </w:p>
        </w:tc>
      </w:tr>
      <w:tr>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5. Sahyog/CFCFRMS Integration</w:t>
            </w:r>
          </w:p>
        </w:tc>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Months 6–9</w:t>
            </w:r>
          </w:p>
        </w:tc>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Automate legal-request generation end-to-end</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Build secure API bridge; align report format with CFCFRMS schema; security audit</w:t>
            </w:r>
          </w:p>
        </w:tc>
        <w:tc>
          <w:tcPr>
            <w:tcW w:type="dxa" w:w="1700"/>
            <w:shd w:fill="FFFFFF" w:val="clear"/>
            <w:tcMar>
              <w:top w:type="dxa" w:w="80"/>
              <w:left w:type="dxa" w:w="100"/>
              <w:bottom w:type="dxa" w:w="80"/>
              <w:right w:type="dxa" w:w="100"/>
            </w:tcMar>
          </w:tcPr>
          <w:p>
            <w:pPr>
              <w:jc w:val="left"/>
            </w:pPr>
            <w:r>
              <w:rPr>
                <w:b w:val="false"/>
                <w:bCs w:val="false"/>
                <w:color w:val="000000"/>
                <w:sz w:val="19"/>
                <w:szCs w:val="19"/>
              </w:rPr>
              <w:t xml:space="preserve">Backend/security engineer; formal integration approval</w:t>
            </w:r>
          </w:p>
        </w:tc>
      </w:tr>
      <w:tr>
        <w:tc>
          <w:tcPr>
            <w:tcW w:type="dxa" w:w="1500"/>
            <w:shd w:fill="F2F2F2" w:val="clear"/>
            <w:tcMar>
              <w:top w:type="dxa" w:w="80"/>
              <w:left w:type="dxa" w:w="100"/>
              <w:bottom w:type="dxa" w:w="80"/>
              <w:right w:type="dxa" w:w="100"/>
            </w:tcMar>
          </w:tcPr>
          <w:p>
            <w:pPr>
              <w:jc w:val="left"/>
            </w:pPr>
            <w:r>
              <w:rPr>
                <w:b w:val="false"/>
                <w:bCs w:val="false"/>
                <w:color w:val="000000"/>
                <w:sz w:val="19"/>
                <w:szCs w:val="19"/>
              </w:rPr>
              <w:t xml:space="preserve">6. Multi-State Rollout</w:t>
            </w:r>
          </w:p>
        </w:tc>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Months 9–14</w:t>
            </w:r>
          </w:p>
        </w:tc>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Scale to multiple cyber-crime cells</w:t>
            </w:r>
          </w:p>
        </w:tc>
        <w:tc>
          <w:tcPr>
            <w:tcW w:type="dxa" w:w="2900"/>
            <w:shd w:fill="F2F2F2" w:val="clear"/>
            <w:tcMar>
              <w:top w:type="dxa" w:w="80"/>
              <w:left w:type="dxa" w:w="100"/>
              <w:bottom w:type="dxa" w:w="80"/>
              <w:right w:type="dxa" w:w="100"/>
            </w:tcMar>
          </w:tcPr>
          <w:p>
            <w:pPr>
              <w:jc w:val="left"/>
            </w:pPr>
            <w:r>
              <w:rPr>
                <w:b w:val="false"/>
                <w:bCs w:val="false"/>
                <w:color w:val="000000"/>
                <w:sz w:val="19"/>
                <w:szCs w:val="19"/>
              </w:rPr>
              <w:t xml:space="preserve">Onboarding, training, dashboard rollout, feedback loop</w:t>
            </w:r>
          </w:p>
        </w:tc>
        <w:tc>
          <w:tcPr>
            <w:tcW w:type="dxa" w:w="1700"/>
            <w:shd w:fill="F2F2F2" w:val="clear"/>
            <w:tcMar>
              <w:top w:type="dxa" w:w="80"/>
              <w:left w:type="dxa" w:w="100"/>
              <w:bottom w:type="dxa" w:w="80"/>
              <w:right w:type="dxa" w:w="100"/>
            </w:tcMar>
          </w:tcPr>
          <w:p>
            <w:pPr>
              <w:jc w:val="left"/>
            </w:pPr>
            <w:r>
              <w:rPr>
                <w:b w:val="false"/>
                <w:bCs w:val="false"/>
                <w:color w:val="000000"/>
                <w:sz w:val="19"/>
                <w:szCs w:val="19"/>
              </w:rPr>
              <w:t xml:space="preserve">Training team; ops support; infra scaling</w:t>
            </w:r>
          </w:p>
        </w:tc>
      </w:tr>
    </w:tbl>
    <w:p>
      <w:pPr>
        <w:pStyle w:val="Heading1"/>
        <w:pBdr>
          <w:bottom w:val="single" w:color="1F3864" w:sz="8" w:space="4"/>
        </w:pBdr>
        <w:spacing w:after="200" w:before="400"/>
      </w:pPr>
      <w:r>
        <w:rPr>
          <w:b/>
          <w:bCs/>
          <w:color w:val="1F3864"/>
          <w:sz w:val="30"/>
          <w:szCs w:val="30"/>
        </w:rPr>
        <w:t xml:space="preserve">9. 36-Hour Hackathon Build Plan (Realistic MVP Scope)</w:t>
      </w:r>
    </w:p>
    <w:p>
      <w:pPr>
        <w:spacing w:after="160" w:line="300"/>
        <w:jc w:val="both"/>
      </w:pPr>
      <w:r>
        <w:rPr>
          <w:sz w:val="21"/>
          <w:szCs w:val="21"/>
        </w:rPr>
        <w:t xml:space="preserve">The goal in 36 hours is not a production system — it is a convincing, working demonstration of the fusion graph and the predictive shadow-cluster concept, using public blockchain data and a small synthetic fiat-rail dataset, ending in a live demo and a Sahyog-format auto-generated sample report.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00"/>
      </w:tblGrid>
      <w:tr>
        <w:trPr>
          <w:tblHeader/>
        </w:trPr>
        <w:tc>
          <w:tcPr>
            <w:tcW w:type="dxa" w:w="1600"/>
            <w:shd w:fill="1F3864" w:val="clear"/>
            <w:tcMar>
              <w:top w:type="dxa" w:w="80"/>
              <w:left w:type="dxa" w:w="100"/>
              <w:bottom w:type="dxa" w:w="80"/>
              <w:right w:type="dxa" w:w="100"/>
            </w:tcMar>
          </w:tcPr>
          <w:p>
            <w:pPr>
              <w:jc w:val="center"/>
            </w:pPr>
            <w:r>
              <w:rPr>
                <w:b/>
                <w:bCs/>
                <w:color w:val="FFFFFF"/>
                <w:sz w:val="19"/>
                <w:szCs w:val="19"/>
              </w:rPr>
              <w:t xml:space="preserve">Time Block</w:t>
            </w:r>
          </w:p>
        </w:tc>
        <w:tc>
          <w:tcPr>
            <w:tcW w:type="dxa" w:w="2400"/>
            <w:shd w:fill="1F3864" w:val="clear"/>
            <w:tcMar>
              <w:top w:type="dxa" w:w="80"/>
              <w:left w:type="dxa" w:w="100"/>
              <w:bottom w:type="dxa" w:w="80"/>
              <w:right w:type="dxa" w:w="100"/>
            </w:tcMar>
          </w:tcPr>
          <w:p>
            <w:pPr>
              <w:jc w:val="center"/>
            </w:pPr>
            <w:r>
              <w:rPr>
                <w:b/>
                <w:bCs/>
                <w:color w:val="FFFFFF"/>
                <w:sz w:val="19"/>
                <w:szCs w:val="19"/>
              </w:rPr>
              <w:t xml:space="preserve">Focus</w:t>
            </w:r>
          </w:p>
        </w:tc>
        <w:tc>
          <w:tcPr>
            <w:tcW w:type="dxa" w:w="5700"/>
            <w:shd w:fill="1F3864" w:val="clear"/>
            <w:tcMar>
              <w:top w:type="dxa" w:w="80"/>
              <w:left w:type="dxa" w:w="100"/>
              <w:bottom w:type="dxa" w:w="80"/>
              <w:right w:type="dxa" w:w="100"/>
            </w:tcMar>
          </w:tcPr>
          <w:p>
            <w:pPr>
              <w:jc w:val="center"/>
            </w:pPr>
            <w:r>
              <w:rPr>
                <w:b/>
                <w:bCs/>
                <w:color w:val="FFFFFF"/>
                <w:sz w:val="19"/>
                <w:szCs w:val="19"/>
              </w:rPr>
              <w:t xml:space="preserve">Deliverable</w:t>
            </w:r>
          </w:p>
        </w:tc>
      </w:tr>
      <w:tr>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Hour 0–4</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Setup &amp; data prep</w:t>
            </w:r>
          </w:p>
        </w:tc>
        <w:tc>
          <w:tcPr>
            <w:tcW w:type="dxa" w:w="5700"/>
            <w:shd w:fill="F2F2F2" w:val="clear"/>
            <w:tcMar>
              <w:top w:type="dxa" w:w="80"/>
              <w:left w:type="dxa" w:w="100"/>
              <w:bottom w:type="dxa" w:w="80"/>
              <w:right w:type="dxa" w:w="100"/>
            </w:tcMar>
          </w:tcPr>
          <w:p>
            <w:pPr>
              <w:jc w:val="left"/>
            </w:pPr>
            <w:r>
              <w:rPr>
                <w:b w:val="false"/>
                <w:bCs w:val="false"/>
                <w:color w:val="000000"/>
                <w:sz w:val="19"/>
                <w:szCs w:val="19"/>
              </w:rPr>
              <w:t xml:space="preserve">Repo scaffolding; Neo4j + FastAPI running; Etherscan/Blockchair API keys wired up; synthetic mule-account CSV prepared (10–15 sample cases)</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Hour 4–10</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Fusion graph engine</w:t>
            </w:r>
          </w:p>
        </w:tc>
        <w:tc>
          <w:tcPr>
            <w:tcW w:type="dxa" w:w="5700"/>
            <w:shd w:fill="FFFFFF" w:val="clear"/>
            <w:tcMar>
              <w:top w:type="dxa" w:w="80"/>
              <w:left w:type="dxa" w:w="100"/>
              <w:bottom w:type="dxa" w:w="80"/>
              <w:right w:type="dxa" w:w="100"/>
            </w:tcMar>
          </w:tcPr>
          <w:p>
            <w:pPr>
              <w:jc w:val="left"/>
            </w:pPr>
            <w:r>
              <w:rPr>
                <w:b w:val="false"/>
                <w:bCs w:val="false"/>
                <w:color w:val="000000"/>
                <w:sz w:val="19"/>
                <w:szCs w:val="19"/>
              </w:rPr>
              <w:t xml:space="preserve">Ingestion scripts load sample complaints, synthetic mule data, and pull real on-chain hop data for 3–5 known public scam wallets (from Chainabuse/CryptoScamDB); entities loaded into Neo4j with resolved links</w:t>
            </w:r>
          </w:p>
        </w:tc>
      </w:tr>
      <w:tr>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Hour 10–16</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On-chain tracing logic</w:t>
            </w:r>
          </w:p>
        </w:tc>
        <w:tc>
          <w:tcPr>
            <w:tcW w:type="dxa" w:w="5700"/>
            <w:shd w:fill="F2F2F2" w:val="clear"/>
            <w:tcMar>
              <w:top w:type="dxa" w:w="80"/>
              <w:left w:type="dxa" w:w="100"/>
              <w:bottom w:type="dxa" w:w="80"/>
              <w:right w:type="dxa" w:w="100"/>
            </w:tcMar>
          </w:tcPr>
          <w:p>
            <w:pPr>
              <w:jc w:val="left"/>
            </w:pPr>
            <w:r>
              <w:rPr>
                <w:b w:val="false"/>
                <w:bCs w:val="false"/>
                <w:color w:val="000000"/>
                <w:sz w:val="19"/>
                <w:szCs w:val="19"/>
              </w:rPr>
              <w:t xml:space="preserve">Multi-hop trace function; exchange deposit-address tagging (using known labelled exchange addresses, publicly available); basic cross-chain flag (same-entity heuristic)</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Hour 16–24</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Predictive shadow-cluster model</w:t>
            </w:r>
          </w:p>
        </w:tc>
        <w:tc>
          <w:tcPr>
            <w:tcW w:type="dxa" w:w="5700"/>
            <w:shd w:fill="FFFFFF" w:val="clear"/>
            <w:tcMar>
              <w:top w:type="dxa" w:w="80"/>
              <w:left w:type="dxa" w:w="100"/>
              <w:bottom w:type="dxa" w:w="80"/>
              <w:right w:type="dxa" w:w="100"/>
            </w:tcMar>
          </w:tcPr>
          <w:p>
            <w:pPr>
              <w:jc w:val="left"/>
            </w:pPr>
            <w:r>
              <w:rPr>
                <w:b w:val="false"/>
                <w:bCs w:val="false"/>
                <w:color w:val="000000"/>
                <w:sz w:val="19"/>
                <w:szCs w:val="19"/>
              </w:rPr>
              <w:t xml:space="preserve">Feature engineering (timing, funding-source reuse) on the sample syndicate; simple XGBoost classifier trained on synthetic + real labelled scam-wallet data; scoring endpoint for new wallets</w:t>
            </w:r>
          </w:p>
        </w:tc>
      </w:tr>
      <w:tr>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Hour 24–30</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Dashboard &amp; report generator</w:t>
            </w:r>
          </w:p>
        </w:tc>
        <w:tc>
          <w:tcPr>
            <w:tcW w:type="dxa" w:w="5700"/>
            <w:shd w:fill="F2F2F2" w:val="clear"/>
            <w:tcMar>
              <w:top w:type="dxa" w:w="80"/>
              <w:left w:type="dxa" w:w="100"/>
              <w:bottom w:type="dxa" w:w="80"/>
              <w:right w:type="dxa" w:w="100"/>
            </w:tcMar>
          </w:tcPr>
          <w:p>
            <w:pPr>
              <w:jc w:val="left"/>
            </w:pPr>
            <w:r>
              <w:rPr>
                <w:b w:val="false"/>
                <w:bCs w:val="false"/>
                <w:color w:val="000000"/>
                <w:sz w:val="19"/>
                <w:szCs w:val="19"/>
              </w:rPr>
              <w:t xml:space="preserve">React + Cytoscape.js graph visualisation of the fused network; risk-ranked alert list; one-click Sahyog-format PDF/DOCX generator pre-filled from a selected case</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Hour 30–34</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Integration &amp; testing</w:t>
            </w:r>
          </w:p>
        </w:tc>
        <w:tc>
          <w:tcPr>
            <w:tcW w:type="dxa" w:w="5700"/>
            <w:shd w:fill="FFFFFF" w:val="clear"/>
            <w:tcMar>
              <w:top w:type="dxa" w:w="80"/>
              <w:left w:type="dxa" w:w="100"/>
              <w:bottom w:type="dxa" w:w="80"/>
              <w:right w:type="dxa" w:w="100"/>
            </w:tcMar>
          </w:tcPr>
          <w:p>
            <w:pPr>
              <w:jc w:val="left"/>
            </w:pPr>
            <w:r>
              <w:rPr>
                <w:b w:val="false"/>
                <w:bCs w:val="false"/>
                <w:color w:val="000000"/>
                <w:sz w:val="19"/>
                <w:szCs w:val="19"/>
              </w:rPr>
              <w:t xml:space="preserve">End-to-end run: sample complaint in → fused graph → shadow-cluster alert → auto-generated legal request out; bug fixes; polish UI</w:t>
            </w:r>
          </w:p>
        </w:tc>
      </w:tr>
      <w:tr>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Hour 34–36</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Pitch prep</w:t>
            </w:r>
          </w:p>
        </w:tc>
        <w:tc>
          <w:tcPr>
            <w:tcW w:type="dxa" w:w="5700"/>
            <w:shd w:fill="F2F2F2" w:val="clear"/>
            <w:tcMar>
              <w:top w:type="dxa" w:w="80"/>
              <w:left w:type="dxa" w:w="100"/>
              <w:bottom w:type="dxa" w:w="80"/>
              <w:right w:type="dxa" w:w="100"/>
            </w:tcMar>
          </w:tcPr>
          <w:p>
            <w:pPr>
              <w:jc w:val="left"/>
            </w:pPr>
            <w:r>
              <w:rPr>
                <w:b w:val="false"/>
                <w:bCs w:val="false"/>
                <w:color w:val="000000"/>
                <w:sz w:val="19"/>
                <w:szCs w:val="19"/>
              </w:rPr>
              <w:t xml:space="preserve">Demo script, architecture slide, gap-analysis slide (Sections 3–5 of this report), impact metrics</w:t>
            </w:r>
          </w:p>
        </w:tc>
      </w:tr>
    </w:tbl>
    <w:p>
      <w:pPr>
        <w:spacing w:after="160" w:line="300"/>
        <w:jc w:val="both"/>
      </w:pPr>
      <w:r>
        <w:rPr>
          <w:sz w:val="21"/>
          <w:szCs w:val="21"/>
        </w:rPr>
        <w:t xml:space="preserve">This scope is deliberately achievable: it reuses free public APIs and open-source clustering heuristics for the on-chain half, and a small, clearly labelled synthetic dataset for the fiat-rail half — enough to prove the fusion and prediction concepts convincingly to judges without needing any restricted data access within the hackathon window.</w:t>
      </w:r>
    </w:p>
    <w:p>
      <w:r>
        <w:br w:type="page"/>
      </w:r>
    </w:p>
    <w:p>
      <w:pPr>
        <w:pStyle w:val="Heading1"/>
        <w:pBdr>
          <w:bottom w:val="single" w:color="1F3864" w:sz="8" w:space="4"/>
        </w:pBdr>
        <w:spacing w:after="200" w:before="400"/>
      </w:pPr>
      <w:r>
        <w:rPr>
          <w:b/>
          <w:bCs/>
          <w:color w:val="1F3864"/>
          <w:sz w:val="30"/>
          <w:szCs w:val="30"/>
        </w:rPr>
        <w:t xml:space="preserve">10. Team Composition and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shd w:fill="1F3864" w:val="clear"/>
            <w:tcMar>
              <w:top w:type="dxa" w:w="80"/>
              <w:left w:type="dxa" w:w="100"/>
              <w:bottom w:type="dxa" w:w="80"/>
              <w:right w:type="dxa" w:w="100"/>
            </w:tcMar>
          </w:tcPr>
          <w:p>
            <w:pPr>
              <w:jc w:val="center"/>
            </w:pPr>
            <w:r>
              <w:rPr>
                <w:b/>
                <w:bCs/>
                <w:color w:val="FFFFFF"/>
                <w:sz w:val="19"/>
                <w:szCs w:val="19"/>
              </w:rPr>
              <w:t xml:space="preserve">Role</w:t>
            </w:r>
          </w:p>
        </w:tc>
        <w:tc>
          <w:tcPr>
            <w:tcW w:type="dxa" w:w="3400"/>
            <w:shd w:fill="1F3864" w:val="clear"/>
            <w:tcMar>
              <w:top w:type="dxa" w:w="80"/>
              <w:left w:type="dxa" w:w="100"/>
              <w:bottom w:type="dxa" w:w="80"/>
              <w:right w:type="dxa" w:w="100"/>
            </w:tcMar>
          </w:tcPr>
          <w:p>
            <w:pPr>
              <w:jc w:val="center"/>
            </w:pPr>
            <w:r>
              <w:rPr>
                <w:b/>
                <w:bCs/>
                <w:color w:val="FFFFFF"/>
                <w:sz w:val="19"/>
                <w:szCs w:val="19"/>
              </w:rPr>
              <w:t xml:space="preserve">Responsibility</w:t>
            </w:r>
          </w:p>
        </w:tc>
        <w:tc>
          <w:tcPr>
            <w:tcW w:type="dxa" w:w="3400"/>
            <w:shd w:fill="1F3864" w:val="clear"/>
            <w:tcMar>
              <w:top w:type="dxa" w:w="80"/>
              <w:left w:type="dxa" w:w="100"/>
              <w:bottom w:type="dxa" w:w="80"/>
              <w:right w:type="dxa" w:w="100"/>
            </w:tcMar>
          </w:tcPr>
          <w:p>
            <w:pPr>
              <w:jc w:val="center"/>
            </w:pPr>
            <w:r>
              <w:rPr>
                <w:b/>
                <w:bCs/>
                <w:color w:val="FFFFFF"/>
                <w:sz w:val="19"/>
                <w:szCs w:val="19"/>
              </w:rPr>
              <w:t xml:space="preserve">Ideal Background</w:t>
            </w:r>
          </w:p>
        </w:tc>
      </w:tr>
      <w:tr>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Blockchain / Backend Engineer</w:t>
            </w:r>
          </w:p>
        </w:tc>
        <w:tc>
          <w:tcPr>
            <w:tcW w:type="dxa" w:w="3400"/>
            <w:shd w:fill="F2F2F2" w:val="clear"/>
            <w:tcMar>
              <w:top w:type="dxa" w:w="80"/>
              <w:left w:type="dxa" w:w="100"/>
              <w:bottom w:type="dxa" w:w="80"/>
              <w:right w:type="dxa" w:w="100"/>
            </w:tcMar>
          </w:tcPr>
          <w:p>
            <w:pPr>
              <w:jc w:val="left"/>
            </w:pPr>
            <w:r>
              <w:rPr>
                <w:b w:val="false"/>
                <w:bCs w:val="false"/>
                <w:color w:val="000000"/>
                <w:sz w:val="19"/>
                <w:szCs w:val="19"/>
              </w:rPr>
              <w:t xml:space="preserve">On-chain ingestion, tracing logic, exchange tagging, API layer</w:t>
            </w:r>
          </w:p>
        </w:tc>
        <w:tc>
          <w:tcPr>
            <w:tcW w:type="dxa" w:w="3400"/>
            <w:shd w:fill="F2F2F2" w:val="clear"/>
            <w:tcMar>
              <w:top w:type="dxa" w:w="80"/>
              <w:left w:type="dxa" w:w="100"/>
              <w:bottom w:type="dxa" w:w="80"/>
              <w:right w:type="dxa" w:w="100"/>
            </w:tcMar>
          </w:tcPr>
          <w:p>
            <w:pPr>
              <w:jc w:val="left"/>
            </w:pPr>
            <w:r>
              <w:rPr>
                <w:b w:val="false"/>
                <w:bCs w:val="false"/>
                <w:color w:val="000000"/>
                <w:sz w:val="19"/>
                <w:szCs w:val="19"/>
              </w:rPr>
              <w:t xml:space="preserve">Web3/blockchain APIs, Python or Node.js, REST API design</w:t>
            </w:r>
          </w:p>
        </w:tc>
      </w:tr>
      <w:tr>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ML Engineer</w:t>
            </w:r>
          </w:p>
        </w:tc>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Entity resolution, shadow-cluster fingerprinting model</w:t>
            </w:r>
          </w:p>
        </w:tc>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ML/graph ML (GNNs a plus), feature engineering, XGBoost/PyTorch</w:t>
            </w:r>
          </w:p>
        </w:tc>
      </w:tr>
      <w:tr>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Graph / Data Engineer</w:t>
            </w:r>
          </w:p>
        </w:tc>
        <w:tc>
          <w:tcPr>
            <w:tcW w:type="dxa" w:w="3400"/>
            <w:shd w:fill="F2F2F2" w:val="clear"/>
            <w:tcMar>
              <w:top w:type="dxa" w:w="80"/>
              <w:left w:type="dxa" w:w="100"/>
              <w:bottom w:type="dxa" w:w="80"/>
              <w:right w:type="dxa" w:w="100"/>
            </w:tcMar>
          </w:tcPr>
          <w:p>
            <w:pPr>
              <w:jc w:val="left"/>
            </w:pPr>
            <w:r>
              <w:rPr>
                <w:b w:val="false"/>
                <w:bCs w:val="false"/>
                <w:color w:val="000000"/>
                <w:sz w:val="19"/>
                <w:szCs w:val="19"/>
              </w:rPr>
              <w:t xml:space="preserve">Neo4j schema design, fusion pipeline, data cleaning</w:t>
            </w:r>
          </w:p>
        </w:tc>
        <w:tc>
          <w:tcPr>
            <w:tcW w:type="dxa" w:w="3400"/>
            <w:shd w:fill="F2F2F2" w:val="clear"/>
            <w:tcMar>
              <w:top w:type="dxa" w:w="80"/>
              <w:left w:type="dxa" w:w="100"/>
              <w:bottom w:type="dxa" w:w="80"/>
              <w:right w:type="dxa" w:w="100"/>
            </w:tcMar>
          </w:tcPr>
          <w:p>
            <w:pPr>
              <w:jc w:val="left"/>
            </w:pPr>
            <w:r>
              <w:rPr>
                <w:b w:val="false"/>
                <w:bCs w:val="false"/>
                <w:color w:val="000000"/>
                <w:sz w:val="19"/>
                <w:szCs w:val="19"/>
              </w:rPr>
              <w:t xml:space="preserve">Graph databases (Neo4j/Cypher), ETL pipelines</w:t>
            </w:r>
          </w:p>
        </w:tc>
      </w:tr>
      <w:tr>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Frontend / Dashboard Developer</w:t>
            </w:r>
          </w:p>
        </w:tc>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Graph visualisation, case dashboard, alert UI</w:t>
            </w:r>
          </w:p>
        </w:tc>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React, D3.js/Cytoscape.js, UX for data-heavy tools</w:t>
            </w:r>
          </w:p>
        </w:tc>
      </w:tr>
      <w:tr>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Domain / Cybersecurity SME</w:t>
            </w:r>
          </w:p>
        </w:tc>
        <w:tc>
          <w:tcPr>
            <w:tcW w:type="dxa" w:w="3400"/>
            <w:shd w:fill="F2F2F2" w:val="clear"/>
            <w:tcMar>
              <w:top w:type="dxa" w:w="80"/>
              <w:left w:type="dxa" w:w="100"/>
              <w:bottom w:type="dxa" w:w="80"/>
              <w:right w:type="dxa" w:w="100"/>
            </w:tcMar>
          </w:tcPr>
          <w:p>
            <w:pPr>
              <w:jc w:val="left"/>
            </w:pPr>
            <w:r>
              <w:rPr>
                <w:b w:val="false"/>
                <w:bCs w:val="false"/>
                <w:color w:val="000000"/>
                <w:sz w:val="19"/>
                <w:szCs w:val="19"/>
              </w:rPr>
              <w:t xml:space="preserve">Sahyog/NCRP/CFCFRMS format accuracy, fraud typology input, legal-compliance framing</w:t>
            </w:r>
          </w:p>
        </w:tc>
        <w:tc>
          <w:tcPr>
            <w:tcW w:type="dxa" w:w="3400"/>
            <w:shd w:fill="F2F2F2" w:val="clear"/>
            <w:tcMar>
              <w:top w:type="dxa" w:w="80"/>
              <w:left w:type="dxa" w:w="100"/>
              <w:bottom w:type="dxa" w:w="80"/>
              <w:right w:type="dxa" w:w="100"/>
            </w:tcMar>
          </w:tcPr>
          <w:p>
            <w:pPr>
              <w:jc w:val="left"/>
            </w:pPr>
            <w:r>
              <w:rPr>
                <w:b w:val="false"/>
                <w:bCs w:val="false"/>
                <w:color w:val="000000"/>
                <w:sz w:val="19"/>
                <w:szCs w:val="19"/>
              </w:rPr>
              <w:t xml:space="preserve">Cyber-law, LEA process familiarity, or guided research (this can be you — the domain researcher on the team)</w:t>
            </w:r>
          </w:p>
        </w:tc>
      </w:tr>
      <w:tr>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Pitch / Presentation Lead</w:t>
            </w:r>
          </w:p>
        </w:tc>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Narrative, gap-analysis framing, demo delivery</w:t>
            </w:r>
          </w:p>
        </w:tc>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Communication, storytelling, slide design</w:t>
            </w:r>
          </w:p>
        </w:tc>
      </w:tr>
    </w:tbl>
    <w:p>
      <w:pPr>
        <w:spacing w:after="160" w:line="300"/>
        <w:jc w:val="both"/>
      </w:pPr>
      <w:r>
        <w:rPr>
          <w:sz w:val="21"/>
          <w:szCs w:val="21"/>
        </w:rPr>
        <w:t xml:space="preserve">A 5–6 member team maps cleanly onto this list. Note the fifth role explicitly: you do not need a cybersecurity background to contribute meaningfully — the domain-framing and legal-compliance-accuracy role (making sure the gap analysis and the Sahyog-format output are credible) is exactly the kind of contribution a non-technical or cross-domain member can own, and it is often what separates a technically competent hackathon entry from one that visibly understands the real investigative workflow.</w:t>
      </w:r>
    </w:p>
    <w:p>
      <w:pPr>
        <w:pStyle w:val="Heading1"/>
        <w:pBdr>
          <w:bottom w:val="single" w:color="1F3864" w:sz="8" w:space="4"/>
        </w:pBdr>
        <w:spacing w:after="200" w:before="400"/>
      </w:pPr>
      <w:r>
        <w:rPr>
          <w:b/>
          <w:bCs/>
          <w:color w:val="1F3864"/>
          <w:sz w:val="30"/>
          <w:szCs w:val="30"/>
        </w:rPr>
        <w:t xml:space="preserve">11. Expected Impact</w:t>
      </w:r>
    </w:p>
    <w:p>
      <w:pPr>
        <w:pStyle w:val="ListParagraph"/>
        <w:numPr>
          <w:ilvl w:val="0"/>
          <w:numId w:val="2"/>
        </w:numPr>
        <w:spacing w:after="90" w:line="280"/>
      </w:pPr>
      <w:r>
        <w:rPr>
          <w:sz w:val="21"/>
          <w:szCs w:val="21"/>
        </w:rPr>
        <w:t xml:space="preserve">Reduces investigator time-to-attribution from days/weeks of manual cross-referencing to a single fused graph view generated automatically on complaint intake.</w:t>
      </w:r>
    </w:p>
    <w:p>
      <w:pPr>
        <w:pStyle w:val="ListParagraph"/>
        <w:numPr>
          <w:ilvl w:val="0"/>
          <w:numId w:val="2"/>
        </w:numPr>
        <w:spacing w:after="90" w:line="280"/>
      </w:pPr>
      <w:r>
        <w:rPr>
          <w:sz w:val="21"/>
          <w:szCs w:val="21"/>
        </w:rPr>
        <w:t xml:space="preserve">Surfaces a syndicate's other active wallets before their victims separately complain, enabling pre-emptive freeze advisories rather than after-the-fact tracing.</w:t>
      </w:r>
    </w:p>
    <w:p>
      <w:pPr>
        <w:pStyle w:val="ListParagraph"/>
        <w:numPr>
          <w:ilvl w:val="0"/>
          <w:numId w:val="2"/>
        </w:numPr>
        <w:spacing w:after="90" w:line="280"/>
      </w:pPr>
      <w:r>
        <w:rPr>
          <w:sz w:val="21"/>
          <w:szCs w:val="21"/>
        </w:rPr>
        <w:t xml:space="preserve">Converts wallet-level attribution into syndicate-level intelligence, materially improving prosecution strength (linking recruiter, mule, and on-chain layers in one evidentiary chain).</w:t>
      </w:r>
    </w:p>
    <w:p>
      <w:pPr>
        <w:pStyle w:val="ListParagraph"/>
        <w:numPr>
          <w:ilvl w:val="0"/>
          <w:numId w:val="2"/>
        </w:numPr>
        <w:spacing w:after="90" w:line="280"/>
      </w:pPr>
      <w:r>
        <w:rPr>
          <w:sz w:val="21"/>
          <w:szCs w:val="21"/>
        </w:rPr>
        <w:t xml:space="preserve">Removes manual drafting time from the existing Sahyog legal-request channel via auto-generated, pre-filled requests.</w:t>
      </w:r>
    </w:p>
    <w:p>
      <w:pPr>
        <w:pStyle w:val="ListParagraph"/>
        <w:numPr>
          <w:ilvl w:val="0"/>
          <w:numId w:val="2"/>
        </w:numPr>
        <w:spacing w:after="90" w:line="280"/>
      </w:pPr>
      <w:r>
        <w:rPr>
          <w:sz w:val="21"/>
          <w:szCs w:val="21"/>
        </w:rPr>
        <w:t xml:space="preserve">Provides an explainable graph-path output (not a black-box score), directly addressing the legal-admissibility concern raised against existing commercial clustering tools.</w:t>
      </w:r>
    </w:p>
    <w:p>
      <w:pPr>
        <w:pStyle w:val="Heading1"/>
        <w:pBdr>
          <w:bottom w:val="single" w:color="1F3864" w:sz="8" w:space="4"/>
        </w:pBdr>
        <w:spacing w:after="200" w:before="400"/>
      </w:pPr>
      <w:r>
        <w:rPr>
          <w:b/>
          <w:bCs/>
          <w:color w:val="1F3864"/>
          <w:sz w:val="30"/>
          <w:szCs w:val="30"/>
        </w:rPr>
        <w:t xml:space="preserve">12. Conclusion</w:t>
      </w:r>
    </w:p>
    <w:p>
      <w:pPr>
        <w:spacing w:after="160" w:line="300"/>
        <w:jc w:val="both"/>
      </w:pPr>
      <w:r>
        <w:rPr>
          <w:sz w:val="21"/>
          <w:szCs w:val="21"/>
        </w:rPr>
        <w:t xml:space="preserve">The crypto-fraud attribution space is not short of blockchain-tracing technology — that layer is genuinely mature, both globally (Chainalysis, Elliptic, TRM) and, increasingly, within India's own Sahyog/NCRP/CFCFRMS infrastructure. What remains completely unaddressed, anywhere, is the seam between that on-chain layer and the human/fiat-rail layer that every Indian cyber-fraud case actually begins in — a seam that no foreign vendor can legally reach and no current domestic platform is built to analyse. Project SUTRA is scoped precisely to occupy that seam: a fusion graph that turns disconnected wallet-hop lists and mule-account complaints into one syndicate-level map, and a predictive layer that flags a syndicate's other live wallets before their victims even file a complaint. It is deliberately buildable as a convincing 36-hour prototype on public data alone, with a clear, realistic path to a production LEA deployment once the necessary data-sharing MoUs are in place.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SUTRA — Syndicate Unmasking through Transaction &amp; Relationship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2026-08-27T15:42:10.677Z</dcterms:created>
  <dcterms:modified xsi:type="dcterms:W3CDTF">2026-08-27T15:42:10.692Z</dcterms:modified>
</cp:coreProperties>
</file>

<file path=docProps/custom.xml><?xml version="1.0" encoding="utf-8"?>
<Properties xmlns="http://schemas.openxmlformats.org/officeDocument/2006/custom-properties" xmlns:vt="http://schemas.openxmlformats.org/officeDocument/2006/docPropsVTypes"/>
</file>