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0369A1"/>
          <w:sz w:val="24"/>
          <w:szCs w:val="24"/>
        </w:rPr>
        <w:t xml:space="preserve">MUNICIPAL PROJECT WHITEPAPER &amp; OFFICIAL TENDER-READY PROPOSAL
</w:t>
      </w:r>
      <w:r>
        <w:rPr>
          <w:rFonts w:ascii="Calibri" w:cs="Calibri" w:eastAsia="Calibri" w:hAnsi="Calibri"/>
          <w:b/>
          <w:bCs/>
          <w:color w:val="0F172A"/>
          <w:sz w:val="34"/>
          <w:szCs w:val="34"/>
        </w:rPr>
        <w:t xml:space="preserve">DEPLOYMENT OF SMART CIVIC AI PLATFORM (CITYOS)
Across 24 Administrative Wards (A to 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Calibri" w:cs="Calibri" w:eastAsia="Calibri" w:hAnsi="Calibri"/>
                <w:b/>
                <w:bCs/>
                <w:color w:val="1E293B"/>
                <w:sz w:val="19"/>
                <w:szCs w:val="19"/>
              </w:rPr>
              <w:t xml:space="preserve">Target Municipal Authority:</w:t>
            </w:r>
          </w:p>
        </w:tc>
        <w:tc>
          <w:tcPr>
            <w:tcW w:type="pct" w:w="7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Calibri" w:cs="Calibri" w:eastAsia="Calibri" w:hAnsi="Calibri"/>
                <w:color w:val="334155"/>
                <w:sz w:val="19"/>
                <w:szCs w:val="19"/>
              </w:rPr>
              <w:t xml:space="preserve">Brihanmumbai Municipal Corporation (BMC), Fort HQ, Mumbai - 400001</w:t>
            </w:r>
          </w:p>
        </w:tc>
      </w:tr>
      <w:tr>
        <w:tc>
          <w:tcPr>
            <w:tcW w:type="pct" w:w="3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Calibri" w:cs="Calibri" w:eastAsia="Calibri" w:hAnsi="Calibri"/>
                <w:b/>
                <w:bCs/>
                <w:color w:val="1E293B"/>
                <w:sz w:val="19"/>
                <w:szCs w:val="19"/>
              </w:rPr>
              <w:t xml:space="preserve">Subject Matter:</w:t>
            </w:r>
          </w:p>
        </w:tc>
        <w:tc>
          <w:tcPr>
            <w:tcW w:type="pct" w:w="7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Calibri" w:cs="Calibri" w:eastAsia="Calibri" w:hAnsi="Calibri"/>
                <w:color w:val="334155"/>
                <w:sz w:val="19"/>
                <w:szCs w:val="19"/>
              </w:rPr>
              <w:t xml:space="preserve">AI Grievance Triage, GPS Geofenced Telemetry, and Ward SLA Governance</w:t>
            </w:r>
          </w:p>
        </w:tc>
      </w:tr>
      <w:tr>
        <w:tc>
          <w:tcPr>
            <w:tcW w:type="pct" w:w="3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Calibri" w:cs="Calibri" w:eastAsia="Calibri" w:hAnsi="Calibri"/>
                <w:b/>
                <w:bCs/>
                <w:color w:val="1E293B"/>
                <w:sz w:val="19"/>
                <w:szCs w:val="19"/>
              </w:rPr>
              <w:t xml:space="preserve">Live Demonstration URL:</w:t>
            </w:r>
          </w:p>
        </w:tc>
        <w:tc>
          <w:tcPr>
            <w:tcW w:type="pct" w:w="7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Calibri" w:cs="Calibri" w:eastAsia="Calibri" w:hAnsi="Calibri"/>
                <w:b/>
                <w:bCs/>
                <w:color w:val="0284C7"/>
                <w:sz w:val="19"/>
                <w:szCs w:val="19"/>
              </w:rPr>
              <w:t xml:space="preserve">https://smart-civic-pi.vercel.app</w:t>
            </w:r>
          </w:p>
        </w:tc>
      </w:tr>
      <w:tr>
        <w:tc>
          <w:tcPr>
            <w:tcW w:type="pct" w:w="30%"/>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Calibri" w:cs="Calibri" w:eastAsia="Calibri" w:hAnsi="Calibri"/>
                <w:b/>
                <w:bCs/>
                <w:color w:val="1E293B"/>
                <w:sz w:val="19"/>
                <w:szCs w:val="19"/>
              </w:rPr>
              <w:t xml:space="preserve">Security Classification:</w:t>
            </w:r>
          </w:p>
        </w:tc>
        <w:tc>
          <w:tcPr>
            <w:tcW w:type="pct" w:w="70%"/>
            <w:tcBorders>
              <w:top w:val="single" w:color="CBD5E1" w:sz="1"/>
              <w:left w:val="single" w:color="CBD5E1" w:sz="1"/>
              <w:bottom w:val="single" w:color="CBD5E1" w:sz="1"/>
              <w:right w:val="single" w:color="CBD5E1" w:sz="1"/>
            </w:tcBorders>
            <w:shd w:fill="F8FAFC" w:val="clear"/>
            <w:tcMar>
              <w:top w:type="dxa" w:w="100"/>
              <w:left w:type="dxa" w:w="150"/>
              <w:bottom w:type="dxa" w:w="100"/>
              <w:right w:type="dxa" w:w="150"/>
            </w:tcMar>
          </w:tcPr>
          <w:p>
            <w:r>
              <w:rPr>
                <w:rFonts w:ascii="Calibri" w:cs="Calibri" w:eastAsia="Calibri" w:hAnsi="Calibri"/>
                <w:color w:val="334155"/>
                <w:sz w:val="19"/>
                <w:szCs w:val="19"/>
              </w:rPr>
              <w:t xml:space="preserve">OFFICIAL / ADMINISTRATIVE SENSITIVE | REF: BMC/IT-CIVIC/2026/PROPOSAL-0419</w:t>
            </w:r>
          </w:p>
        </w:tc>
      </w:tr>
    </w:tbl>
    <w:p>
      <w:pPr>
        <w:spacing w:after="100" w:before="200"/>
      </w:pPr>
    </w:p>
    <w:p>
      <w:pPr>
        <w:spacing w:after="120" w:before="250"/>
      </w:pPr>
      <w:r>
        <w:rPr>
          <w:rFonts w:ascii="Calibri" w:cs="Calibri" w:eastAsia="Calibri" w:hAnsi="Calibri"/>
          <w:b/>
          <w:bCs/>
          <w:color w:val="0369A1"/>
          <w:sz w:val="26"/>
          <w:szCs w:val="26"/>
        </w:rPr>
        <w:t xml:space="preserve">1. Official Header &amp; Executive Briefing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left w:val="single" w:color="2563EB" w:sz="24"/>
              <w:bottom/>
              <w:right/>
            </w:tcBorders>
            <w:shd w:fill="EFF6FF" w:val="clear"/>
            <w:tcMar>
              <w:top w:type="dxa" w:w="140"/>
              <w:left w:type="dxa" w:w="200"/>
              <w:bottom w:type="dxa" w:w="140"/>
              <w:right w:type="dxa" w:w="200"/>
            </w:tcMar>
          </w:tcPr>
          <w:p>
            <w:r>
              <w:rPr>
                <w:rFonts w:ascii="Calibri" w:cs="Calibri" w:eastAsia="Calibri" w:hAnsi="Calibri"/>
                <w:b/>
                <w:bCs/>
                <w:color w:val="1D4ED8"/>
                <w:sz w:val="20"/>
                <w:szCs w:val="20"/>
              </w:rPr>
              <w:t xml:space="preserve">EXECUTIVE ABSTRACT
</w:t>
            </w:r>
            <w:r>
              <w:rPr>
                <w:rFonts w:ascii="Calibri" w:cs="Calibri" w:eastAsia="Calibri" w:hAnsi="Calibri"/>
                <w:color w:val="1E3A8A"/>
                <w:sz w:val="19"/>
                <w:szCs w:val="19"/>
              </w:rPr>
              <w:t xml:space="preserve">Smart Civic AI transforms Mumbai's grievance management from a slow, retrospective ticketing portal into a real-time, AI-orchestrated City Operating System (CityOS). Built with edge YOLOv8 computer vision, Marathi/Hindi Web Audio voice parsing, hardware-level GPS coordinate locking, and SHA-256 chained audit logs, the platform eliminates contractor fraud while ensuring sub-second response times.</w:t>
            </w:r>
          </w:p>
        </w:tc>
      </w:tr>
    </w:tbl>
    <w:p>
      <w:pPr>
        <w:spacing w:after="100" w:before="140"/>
      </w:pPr>
      <w:r>
        <w:rPr>
          <w:rFonts w:ascii="Calibri" w:cs="Calibri" w:eastAsia="Calibri" w:hAnsi="Calibri"/>
          <w:color w:val="334155"/>
          <w:sz w:val="20"/>
          <w:szCs w:val="20"/>
        </w:rPr>
        <w:t xml:space="preserve">This proposal is formally addressed to the Municipal Commissioner, Additional Municipal Commissioners, Chief Information Officer (CIO), and Ward Executive Engineers across all 24 administrative wards (A to T) of the Brihanmumbai Municipal Corporation.</w:t>
      </w:r>
    </w:p>
    <w:p>
      <w:pPr>
        <w:spacing w:after="120" w:before="250"/>
      </w:pPr>
      <w:r>
        <w:rPr>
          <w:rFonts w:ascii="Calibri" w:cs="Calibri" w:eastAsia="Calibri" w:hAnsi="Calibri"/>
          <w:b/>
          <w:bCs/>
          <w:color w:val="0369A1"/>
          <w:sz w:val="26"/>
          <w:szCs w:val="26"/>
        </w:rPr>
        <w:t xml:space="preserve">2. Root-Cause Analysis of Mumbai's Civic Grievance Gaps</w:t>
      </w:r>
    </w:p>
    <w:p>
      <w:pPr>
        <w:spacing w:after="80" w:before="60"/>
      </w:pPr>
      <w:r>
        <w:rPr>
          <w:rFonts w:ascii="Calibri" w:cs="Calibri" w:eastAsia="Calibri" w:hAnsi="Calibri"/>
          <w:b/>
          <w:bCs/>
          <w:color w:val="0F172A"/>
          <w:sz w:val="20"/>
          <w:szCs w:val="20"/>
        </w:rPr>
        <w:t xml:space="preserve">• Volume &amp; Triage Bottleneck: </w:t>
      </w:r>
      <w:r>
        <w:rPr>
          <w:rFonts w:ascii="Calibri" w:cs="Calibri" w:eastAsia="Calibri" w:hAnsi="Calibri"/>
          <w:color w:val="334155"/>
          <w:sz w:val="20"/>
          <w:szCs w:val="20"/>
        </w:rPr>
        <w:t xml:space="preserve">During peak monsoon surges, complaint volumes rise by 420% exceeding 15,000 daily tickets. Over 68% are spatial duplicates of the same hazard, choking Ward Control Rooms.</w:t>
      </w:r>
    </w:p>
    <w:p>
      <w:pPr>
        <w:spacing w:after="80" w:before="60"/>
      </w:pPr>
      <w:r>
        <w:rPr>
          <w:rFonts w:ascii="Calibri" w:cs="Calibri" w:eastAsia="Calibri" w:hAnsi="Calibri"/>
          <w:b/>
          <w:bCs/>
          <w:color w:val="0F172A"/>
          <w:sz w:val="20"/>
          <w:szCs w:val="20"/>
        </w:rPr>
        <w:t xml:space="preserve">• Ghost Repairs &amp; Telemetry Gaps: </w:t>
      </w:r>
      <w:r>
        <w:rPr>
          <w:rFonts w:ascii="Calibri" w:cs="Calibri" w:eastAsia="Calibri" w:hAnsi="Calibri"/>
          <w:color w:val="334155"/>
          <w:sz w:val="20"/>
          <w:szCs w:val="20"/>
        </w:rPr>
        <w:t xml:space="preserve">Legacy portals permit contractor ticket closures without verified GPS coordinates or real-time camera proof, leading to fraudulent payouts.</w:t>
      </w:r>
    </w:p>
    <w:p>
      <w:pPr>
        <w:spacing w:after="80" w:before="60"/>
      </w:pPr>
      <w:r>
        <w:rPr>
          <w:rFonts w:ascii="Calibri" w:cs="Calibri" w:eastAsia="Calibri" w:hAnsi="Calibri"/>
          <w:b/>
          <w:bCs/>
          <w:color w:val="0F172A"/>
          <w:sz w:val="20"/>
          <w:szCs w:val="20"/>
        </w:rPr>
        <w:t xml:space="preserve">• Static SLA Drift: </w:t>
      </w:r>
      <w:r>
        <w:rPr>
          <w:rFonts w:ascii="Calibri" w:cs="Calibri" w:eastAsia="Calibri" w:hAnsi="Calibri"/>
          <w:color w:val="334155"/>
          <w:sz w:val="20"/>
          <w:szCs w:val="20"/>
        </w:rPr>
        <w:t xml:space="preserve">Life-threatening hazards (open manholes, pipeline ruptures) share the same static 48-72h SLA as cosmetic defects without dynamic auto-escalation.</w:t>
      </w:r>
    </w:p>
    <w:p>
      <w:pPr>
        <w:spacing w:after="80" w:before="60"/>
      </w:pPr>
      <w:r>
        <w:rPr>
          <w:rFonts w:ascii="Calibri" w:cs="Calibri" w:eastAsia="Calibri" w:hAnsi="Calibri"/>
          <w:b/>
          <w:bCs/>
          <w:color w:val="0F172A"/>
          <w:sz w:val="20"/>
          <w:szCs w:val="20"/>
        </w:rPr>
        <w:t xml:space="preserve">• Vernacular &amp; Digital Friction: </w:t>
      </w:r>
      <w:r>
        <w:rPr>
          <w:rFonts w:ascii="Calibri" w:cs="Calibri" w:eastAsia="Calibri" w:hAnsi="Calibri"/>
          <w:color w:val="334155"/>
          <w:sz w:val="20"/>
          <w:szCs w:val="20"/>
        </w:rPr>
        <w:t xml:space="preserve">Lack of native Marathi/Hindi voice intake creates barrier to reporting for transit workers, blue-collar citizens, and senior citizens.</w:t>
      </w:r>
    </w:p>
    <w:p>
      <w:pPr>
        <w:spacing w:after="120" w:before="250"/>
      </w:pPr>
      <w:r>
        <w:rPr>
          <w:rFonts w:ascii="Calibri" w:cs="Calibri" w:eastAsia="Calibri" w:hAnsi="Calibri"/>
          <w:b/>
          <w:bCs/>
          <w:color w:val="0369A1"/>
          <w:sz w:val="26"/>
          <w:szCs w:val="26"/>
        </w:rPr>
        <w:t xml:space="preserve">3. The Proposed Solution: 4-Tier Unified Role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Administrative Tier</w:t>
            </w:r>
          </w:p>
        </w:tc>
        <w:tc>
          <w:tcPr>
            <w:tcW w:type="pct" w:w="70%"/>
            <w:tcBorders>
              <w:top w:val="single" w:color="CBD5E1" w:sz="1"/>
              <w:left w:val="single" w:color="CBD5E1" w:sz="1"/>
              <w:bottom w:val="single" w:color="CBD5E1" w:sz="1"/>
              <w:right w:val="single" w:color="CBD5E1" w:sz="1"/>
            </w:tcBorders>
            <w:shd w:fill="1E3A8A" w:val="clear"/>
            <w:tcMar>
              <w:top w:type="dxa" w:w="120"/>
              <w:left w:type="dxa" w:w="140"/>
              <w:bottom w:type="dxa" w:w="120"/>
              <w:right w:type="dxa" w:w="140"/>
            </w:tcMar>
          </w:tcPr>
          <w:p>
            <w:r>
              <w:rPr>
                <w:rFonts w:ascii="Calibri" w:cs="Calibri" w:eastAsia="Calibri" w:hAnsi="Calibri"/>
                <w:b/>
                <w:bCs/>
                <w:color w:val="FFFFFF"/>
                <w:sz w:val="20"/>
                <w:szCs w:val="20"/>
              </w:rPr>
              <w:t xml:space="preserve">Key Operational Capabilities &amp; Controls</w:t>
            </w:r>
          </w:p>
        </w:tc>
      </w:tr>
      <w:tr>
        <w:tc>
          <w:tcPr>
            <w:tcW w:type="pct" w:w="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0F172A"/>
                <w:sz w:val="19"/>
                <w:szCs w:val="19"/>
              </w:rPr>
              <w:t xml:space="preserve">Tier 1: Citizens &amp; RWAs</w:t>
            </w:r>
          </w:p>
        </w:tc>
        <w:tc>
          <w:tcPr>
            <w:tcW w:type="pct" w:w="7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color w:val="334155"/>
                <w:sz w:val="19"/>
                <w:szCs w:val="19"/>
              </w:rPr>
              <w:t xml:space="preserve">1-click filing, Web Audio Marathi/Hindi/English voice notes, live ticket status timeline, and Civic Karma engagement credits.</w:t>
            </w:r>
          </w:p>
        </w:tc>
      </w:tr>
      <w:tr>
        <w:tc>
          <w:tcPr>
            <w:tcW w:type="pct" w:w="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0F172A"/>
                <w:sz w:val="19"/>
                <w:szCs w:val="19"/>
              </w:rPr>
              <w:t xml:space="preserve">Tier 2: Field Contractors</w:t>
            </w:r>
          </w:p>
        </w:tc>
        <w:tc>
          <w:tcPr>
            <w:tcW w:type="pct" w:w="7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Mandatory 50m GPS geofenced task queue, before/after camera locking (zero gallery uploads), offline SQLite sync.</w:t>
            </w:r>
          </w:p>
        </w:tc>
      </w:tr>
      <w:tr>
        <w:tc>
          <w:tcPr>
            <w:tcW w:type="pct" w:w="3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0F172A"/>
                <w:sz w:val="19"/>
                <w:szCs w:val="19"/>
              </w:rPr>
              <w:t xml:space="preserve">Tier 3: Ward Officers</w:t>
            </w:r>
          </w:p>
        </w:tc>
        <w:tc>
          <w:tcPr>
            <w:tcW w:type="pct" w:w="7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color w:val="334155"/>
                <w:sz w:val="19"/>
                <w:szCs w:val="19"/>
              </w:rPr>
              <w:t xml:space="preserve">Live SLA countdown radar, contractor scorecards, 1-click MMC Act notices (Section 354, 314, Clause 18.4) with SHA-256 seal.</w:t>
            </w:r>
          </w:p>
        </w:tc>
      </w:tr>
      <w:tr>
        <w:tc>
          <w:tcPr>
            <w:tcW w:type="pct" w:w="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0F172A"/>
                <w:sz w:val="19"/>
                <w:szCs w:val="19"/>
              </w:rPr>
              <w:t xml:space="preserve">Tier 4: Commissioners HQ</w:t>
            </w:r>
          </w:p>
        </w:tc>
        <w:tc>
          <w:tcPr>
            <w:tcW w:type="pct" w:w="7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City-wide GIS heatmaps, 3D hydrological runoff digital twin, green bond CapEx ledger, and automated disaster protocols.</w:t>
            </w:r>
          </w:p>
        </w:tc>
      </w:tr>
    </w:tbl>
    <w:p>
      <w:pPr>
        <w:spacing w:after="120" w:before="250"/>
      </w:pPr>
      <w:r>
        <w:rPr>
          <w:rFonts w:ascii="Calibri" w:cs="Calibri" w:eastAsia="Calibri" w:hAnsi="Calibri"/>
          <w:b/>
          <w:bCs/>
          <w:color w:val="0369A1"/>
          <w:sz w:val="26"/>
          <w:szCs w:val="26"/>
        </w:rPr>
        <w:t xml:space="preserve">4. Sovereign Data Security, Legal Compliance &amp; Audit Trails</w:t>
      </w:r>
    </w:p>
    <w:p>
      <w:pPr>
        <w:spacing w:after="80" w:before="60"/>
      </w:pPr>
      <w:r>
        <w:rPr>
          <w:rFonts w:ascii="Calibri" w:cs="Calibri" w:eastAsia="Calibri" w:hAnsi="Calibri"/>
          <w:b/>
          <w:bCs/>
          <w:color w:val="0F172A"/>
          <w:sz w:val="20"/>
          <w:szCs w:val="20"/>
        </w:rPr>
        <w:t xml:space="preserve">• DPDPA 2023 Compliance: </w:t>
      </w:r>
      <w:r>
        <w:rPr>
          <w:rFonts w:ascii="Calibri" w:cs="Calibri" w:eastAsia="Calibri" w:hAnsi="Calibri"/>
          <w:color w:val="334155"/>
          <w:sz w:val="20"/>
          <w:szCs w:val="20"/>
        </w:rPr>
        <w:t xml:space="preserve">Strict data minimization, ephemeral telemetry storage, and citizen PII hashing (+91 98****1234).</w:t>
      </w:r>
    </w:p>
    <w:p>
      <w:pPr>
        <w:spacing w:after="80" w:before="60"/>
      </w:pPr>
      <w:r>
        <w:rPr>
          <w:rFonts w:ascii="Calibri" w:cs="Calibri" w:eastAsia="Calibri" w:hAnsi="Calibri"/>
          <w:b/>
          <w:bCs/>
          <w:color w:val="0F172A"/>
          <w:sz w:val="20"/>
          <w:szCs w:val="20"/>
        </w:rPr>
        <w:t xml:space="preserve">• MeitY Empanelled Cloud: </w:t>
      </w:r>
      <w:r>
        <w:rPr>
          <w:rFonts w:ascii="Calibri" w:cs="Calibri" w:eastAsia="Calibri" w:hAnsi="Calibri"/>
          <w:color w:val="334155"/>
          <w:sz w:val="20"/>
          <w:szCs w:val="20"/>
        </w:rPr>
        <w:t xml:space="preserve">100% Indian data sovereignty (AWS Mumbai ap-south-1 / NIC Cloud) with AES-256-GCM rest and TLS 1.3 transit encryption.</w:t>
      </w:r>
    </w:p>
    <w:p>
      <w:pPr>
        <w:spacing w:after="80" w:before="60"/>
      </w:pPr>
      <w:r>
        <w:rPr>
          <w:rFonts w:ascii="Calibri" w:cs="Calibri" w:eastAsia="Calibri" w:hAnsi="Calibri"/>
          <w:b/>
          <w:bCs/>
          <w:color w:val="0F172A"/>
          <w:sz w:val="20"/>
          <w:szCs w:val="20"/>
        </w:rPr>
        <w:t xml:space="preserve">• SHA-256 Audit Trail: </w:t>
      </w:r>
      <w:r>
        <w:rPr>
          <w:rFonts w:ascii="Calibri" w:cs="Calibri" w:eastAsia="Calibri" w:hAnsi="Calibri"/>
          <w:color w:val="334155"/>
          <w:sz w:val="20"/>
          <w:szCs w:val="20"/>
        </w:rPr>
        <w:t xml:space="preserve">Cryptographically sealed ledger for every ticket action, providing tamper-proof evidence for RTI Act and CAG state audits.</w:t>
      </w:r>
    </w:p>
    <w:p>
      <w:pPr>
        <w:spacing w:after="80" w:before="60"/>
      </w:pPr>
      <w:r>
        <w:rPr>
          <w:rFonts w:ascii="Calibri" w:cs="Calibri" w:eastAsia="Calibri" w:hAnsi="Calibri"/>
          <w:b/>
          <w:bCs/>
          <w:color w:val="0F172A"/>
          <w:sz w:val="20"/>
          <w:szCs w:val="20"/>
        </w:rPr>
        <w:t xml:space="preserve">• Zero-Trust RBAC: </w:t>
      </w:r>
      <w:r>
        <w:rPr>
          <w:rFonts w:ascii="Calibri" w:cs="Calibri" w:eastAsia="Calibri" w:hAnsi="Calibri"/>
          <w:color w:val="334155"/>
          <w:sz w:val="20"/>
          <w:szCs w:val="20"/>
        </w:rPr>
        <w:t xml:space="preserve">100% pass rate across 30 automated security penetration vectors (BOLA, NoSQL injection, DDoS throttling).</w:t>
      </w:r>
    </w:p>
    <w:p>
      <w:pPr>
        <w:spacing w:after="120" w:before="250"/>
      </w:pPr>
      <w:r>
        <w:rPr>
          <w:rFonts w:ascii="Calibri" w:cs="Calibri" w:eastAsia="Calibri" w:hAnsi="Calibri"/>
          <w:b/>
          <w:bCs/>
          <w:color w:val="0369A1"/>
          <w:sz w:val="26"/>
          <w:szCs w:val="26"/>
        </w:rPr>
        <w:t xml:space="preserve">5. Interoperability &amp; Disaster Recovery Protocol</w:t>
      </w:r>
    </w:p>
    <w:p>
      <w:pPr>
        <w:spacing w:after="80" w:before="60"/>
      </w:pPr>
      <w:r>
        <w:rPr>
          <w:rFonts w:ascii="Calibri" w:cs="Calibri" w:eastAsia="Calibri" w:hAnsi="Calibri"/>
          <w:b/>
          <w:bCs/>
          <w:color w:val="0F172A"/>
          <w:sz w:val="20"/>
          <w:szCs w:val="20"/>
        </w:rPr>
        <w:t xml:space="preserve">• BMC SAP / MCGS Sync: </w:t>
      </w:r>
      <w:r>
        <w:rPr>
          <w:rFonts w:ascii="Calibri" w:cs="Calibri" w:eastAsia="Calibri" w:hAnsi="Calibri"/>
          <w:color w:val="334155"/>
          <w:sz w:val="20"/>
          <w:szCs w:val="20"/>
        </w:rPr>
        <w:t xml:space="preserve">Bidirectional RESTful webhook adapters allow parallel dual-run mode without disrupting existing enterprise investments.</w:t>
      </w:r>
    </w:p>
    <w:p>
      <w:pPr>
        <w:spacing w:after="80" w:before="60"/>
      </w:pPr>
      <w:r>
        <w:rPr>
          <w:rFonts w:ascii="Calibri" w:cs="Calibri" w:eastAsia="Calibri" w:hAnsi="Calibri"/>
          <w:b/>
          <w:bCs/>
          <w:color w:val="0F172A"/>
          <w:sz w:val="20"/>
          <w:szCs w:val="20"/>
        </w:rPr>
        <w:t xml:space="preserve">• 60-Second Instant Rollback: </w:t>
      </w:r>
      <w:r>
        <w:rPr>
          <w:rFonts w:ascii="Calibri" w:cs="Calibri" w:eastAsia="Calibri" w:hAnsi="Calibri"/>
          <w:color w:val="334155"/>
          <w:sz w:val="20"/>
          <w:szCs w:val="20"/>
        </w:rPr>
        <w:t xml:space="preserve">Containerized immutable deployments allow instant blue/green traffic cutover to prior certified baselines in case of systemic failure.</w:t>
      </w:r>
    </w:p>
    <w:p>
      <w:pPr>
        <w:spacing w:after="80" w:before="60"/>
      </w:pPr>
      <w:r>
        <w:rPr>
          <w:rFonts w:ascii="Calibri" w:cs="Calibri" w:eastAsia="Calibri" w:hAnsi="Calibri"/>
          <w:b/>
          <w:bCs/>
          <w:color w:val="0F172A"/>
          <w:sz w:val="20"/>
          <w:szCs w:val="20"/>
        </w:rPr>
        <w:t xml:space="preserve">• High Availability &amp; PITR: </w:t>
      </w:r>
      <w:r>
        <w:rPr>
          <w:rFonts w:ascii="Calibri" w:cs="Calibri" w:eastAsia="Calibri" w:hAnsi="Calibri"/>
          <w:color w:val="334155"/>
          <w:sz w:val="20"/>
          <w:szCs w:val="20"/>
        </w:rPr>
        <w:t xml:space="preserve">99.99% uptime SLA with continuous replica-set backups (RPO &lt; 1s, RTO &lt; 15min) and Redis Dead-Letter Queues for failed background jobs.</w:t>
      </w:r>
    </w:p>
    <w:p>
      <w:pPr>
        <w:spacing w:after="120" w:before="250"/>
      </w:pPr>
      <w:r>
        <w:rPr>
          <w:rFonts w:ascii="Calibri" w:cs="Calibri" w:eastAsia="Calibri" w:hAnsi="Calibri"/>
          <w:b/>
          <w:bCs/>
          <w:color w:val="0369A1"/>
          <w:sz w:val="26"/>
          <w:szCs w:val="26"/>
        </w:rPr>
        <w:t xml:space="preserve">6. Projected Annual ROI &amp; Fiscal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5%"/>
            <w:tcBorders>
              <w:top w:val="single" w:color="CBD5E1" w:sz="1"/>
              <w:left w:val="single" w:color="CBD5E1" w:sz="1"/>
              <w:bottom w:val="single" w:color="CBD5E1" w:sz="1"/>
              <w:right w:val="single" w:color="CBD5E1" w:sz="1"/>
            </w:tcBorders>
            <w:shd w:fill="0F766E" w:val="clear"/>
            <w:tcMar>
              <w:top w:type="dxa" w:w="120"/>
              <w:left w:type="dxa" w:w="140"/>
              <w:bottom w:type="dxa" w:w="120"/>
              <w:right w:type="dxa" w:w="140"/>
            </w:tcMar>
          </w:tcPr>
          <w:p>
            <w:r>
              <w:rPr>
                <w:rFonts w:ascii="Calibri" w:cs="Calibri" w:eastAsia="Calibri" w:hAnsi="Calibri"/>
                <w:b/>
                <w:bCs/>
                <w:color w:val="FFFFFF"/>
                <w:sz w:val="20"/>
                <w:szCs w:val="20"/>
              </w:rPr>
              <w:t xml:space="preserve">Optimization Stream</w:t>
            </w:r>
          </w:p>
        </w:tc>
        <w:tc>
          <w:tcPr>
            <w:tcW w:type="pct" w:w="35%"/>
            <w:tcBorders>
              <w:top w:val="single" w:color="CBD5E1" w:sz="1"/>
              <w:left w:val="single" w:color="CBD5E1" w:sz="1"/>
              <w:bottom w:val="single" w:color="CBD5E1" w:sz="1"/>
              <w:right w:val="single" w:color="CBD5E1" w:sz="1"/>
            </w:tcBorders>
            <w:shd w:fill="0F766E" w:val="clear"/>
            <w:tcMar>
              <w:top w:type="dxa" w:w="120"/>
              <w:left w:type="dxa" w:w="140"/>
              <w:bottom w:type="dxa" w:w="120"/>
              <w:right w:type="dxa" w:w="140"/>
            </w:tcMar>
          </w:tcPr>
          <w:p>
            <w:r>
              <w:rPr>
                <w:rFonts w:ascii="Calibri" w:cs="Calibri" w:eastAsia="Calibri" w:hAnsi="Calibri"/>
                <w:b/>
                <w:bCs/>
                <w:color w:val="FFFFFF"/>
                <w:sz w:val="20"/>
                <w:szCs w:val="20"/>
              </w:rPr>
              <w:t xml:space="preserve">Annual Savings</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color w:val="334155"/>
                <w:sz w:val="19"/>
                <w:szCs w:val="19"/>
              </w:rPr>
              <w:t xml:space="preserve">Elimination of Fraudulent Contractor Claims (50m Geofence Lock)</w:t>
            </w:r>
          </w:p>
        </w:tc>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0F172A"/>
                <w:sz w:val="19"/>
                <w:szCs w:val="19"/>
              </w:rPr>
              <w:t xml:space="preserve">₹ 24.50 Crore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Ward Control Room Man-Hour Savings (187,000 Hours Saved)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0F172A"/>
                <w:sz w:val="19"/>
                <w:szCs w:val="19"/>
              </w:rPr>
              <w:t xml:space="preserve">₹ 9.80 Crore</w:t>
            </w:r>
          </w:p>
        </w:tc>
      </w:tr>
      <w:tr>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color w:val="334155"/>
                <w:sz w:val="19"/>
                <w:szCs w:val="19"/>
              </w:rPr>
              <w:t xml:space="preserve">Automated Sub-Meter GIS Asset Routing (Fuel/Logistics)</w:t>
            </w:r>
          </w:p>
        </w:tc>
        <w:tc>
          <w:tcPr>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Calibri" w:cs="Calibri" w:eastAsia="Calibri" w:hAnsi="Calibri"/>
                <w:b/>
                <w:bCs/>
                <w:color w:val="0F172A"/>
                <w:sz w:val="19"/>
                <w:szCs w:val="19"/>
              </w:rPr>
              <w:t xml:space="preserve">₹ 3.20 Crore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color w:val="334155"/>
                <w:sz w:val="19"/>
                <w:szCs w:val="19"/>
              </w:rPr>
              <w:t xml:space="preserve">Paperless MMC Act Legal Notices &amp; Automated Compliance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alibri" w:cs="Calibri" w:eastAsia="Calibri" w:hAnsi="Calibri"/>
                <w:b/>
                <w:bCs/>
                <w:color w:val="0F172A"/>
                <w:sz w:val="19"/>
                <w:szCs w:val="19"/>
              </w:rPr>
              <w:t xml:space="preserve">₹ 2.30 Crore</w:t>
            </w:r>
          </w:p>
        </w:tc>
      </w:tr>
      <w:tr>
        <w:tc>
          <w:tcPr>
            <w:tcBorders>
              <w:top w:val="single" w:color="CBD5E1" w:sz="1"/>
              <w:left w:val="single" w:color="CBD5E1" w:sz="1"/>
              <w:bottom w:val="single" w:color="CBD5E1" w:sz="1"/>
              <w:right w:val="single" w:color="CBD5E1" w:sz="1"/>
            </w:tcBorders>
            <w:shd w:fill="CCFBF1" w:val="clear"/>
            <w:tcMar>
              <w:top w:type="dxa" w:w="110"/>
              <w:left w:type="dxa" w:w="140"/>
              <w:bottom w:type="dxa" w:w="110"/>
              <w:right w:type="dxa" w:w="140"/>
            </w:tcMar>
          </w:tcPr>
          <w:p>
            <w:r>
              <w:rPr>
                <w:rFonts w:ascii="Calibri" w:cs="Calibri" w:eastAsia="Calibri" w:hAnsi="Calibri"/>
                <w:b/>
                <w:bCs/>
                <w:color w:val="0F766E"/>
                <w:sz w:val="20"/>
                <w:szCs w:val="20"/>
              </w:rPr>
              <w:t xml:space="preserve">TOTAL PROJECTED ANNUAL FISCAL SAVINGS</w:t>
            </w:r>
          </w:p>
        </w:tc>
        <w:tc>
          <w:tcPr>
            <w:tcBorders>
              <w:top w:val="single" w:color="CBD5E1" w:sz="1"/>
              <w:left w:val="single" w:color="CBD5E1" w:sz="1"/>
              <w:bottom w:val="single" w:color="CBD5E1" w:sz="1"/>
              <w:right w:val="single" w:color="CBD5E1" w:sz="1"/>
            </w:tcBorders>
            <w:shd w:fill="CCFBF1" w:val="clear"/>
            <w:tcMar>
              <w:top w:type="dxa" w:w="110"/>
              <w:left w:type="dxa" w:w="140"/>
              <w:bottom w:type="dxa" w:w="110"/>
              <w:right w:type="dxa" w:w="140"/>
            </w:tcMar>
          </w:tcPr>
          <w:p>
            <w:r>
              <w:rPr>
                <w:rFonts w:ascii="Calibri" w:cs="Calibri" w:eastAsia="Calibri" w:hAnsi="Calibri"/>
                <w:b/>
                <w:bCs/>
                <w:color w:val="0F766E"/>
                <w:sz w:val="20"/>
                <w:szCs w:val="20"/>
              </w:rPr>
              <w:t xml:space="preserve">₹ 39.80 Crore</w:t>
            </w:r>
          </w:p>
        </w:tc>
      </w:tr>
    </w:tbl>
    <w:p>
      <w:pPr>
        <w:spacing w:after="120" w:before="250"/>
      </w:pPr>
      <w:r>
        <w:rPr>
          <w:rFonts w:ascii="Calibri" w:cs="Calibri" w:eastAsia="Calibri" w:hAnsi="Calibri"/>
          <w:b/>
          <w:bCs/>
          <w:color w:val="0369A1"/>
          <w:sz w:val="26"/>
          <w:szCs w:val="26"/>
        </w:rPr>
        <w:t xml:space="preserve">7. 30-Day Zero-Risk Pilot &amp; Call to Action</w:t>
      </w:r>
    </w:p>
    <w:p>
      <w:pPr>
        <w:spacing w:after="80" w:before="60"/>
      </w:pPr>
      <w:r>
        <w:rPr>
          <w:rFonts w:ascii="Calibri" w:cs="Calibri" w:eastAsia="Calibri" w:hAnsi="Calibri"/>
          <w:color w:val="334155"/>
          <w:sz w:val="20"/>
          <w:szCs w:val="20"/>
        </w:rPr>
        <w:t xml:space="preserve">We propose an immediate 30-day zero-cost trial across Ward K-West (Andheri West) and Ward G-North (Dadar / Dharavi) to validate sub-30-second AI triage, 0% false closures, and sub-24h resolution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1F5F9" w:val="clear"/>
            <w:tcMar>
              <w:top w:type="dxa" w:w="140"/>
              <w:left w:type="dxa" w:w="200"/>
              <w:bottom w:type="dxa" w:w="140"/>
              <w:right w:type="dxa" w:w="200"/>
            </w:tcMar>
          </w:tcPr>
          <w:p>
            <w:r>
              <w:rPr>
                <w:rFonts w:ascii="Calibri" w:cs="Calibri" w:eastAsia="Calibri" w:hAnsi="Calibri"/>
                <w:b/>
                <w:bCs/>
                <w:color w:val="0F172A"/>
                <w:sz w:val="20"/>
                <w:szCs w:val="20"/>
              </w:rPr>
              <w:t xml:space="preserve">OFFICIAL SYSTEM DEMO &amp; EXECUTIVE BRIEFING
</w:t>
            </w:r>
            <w:r>
              <w:rPr>
                <w:rFonts w:ascii="Calibri" w:cs="Calibri" w:eastAsia="Calibri" w:hAnsi="Calibri"/>
                <w:b/>
                <w:bCs/>
                <w:color w:val="0284C7"/>
                <w:sz w:val="19"/>
                <w:szCs w:val="19"/>
              </w:rPr>
              <w:t xml:space="preserve">Live Production Link: </w:t>
            </w:r>
            <w:r>
              <w:rPr>
                <w:rFonts w:ascii="Calibri" w:cs="Calibri" w:eastAsia="Calibri" w:hAnsi="Calibri"/>
                <w:color w:val="0284C7"/>
                <w:sz w:val="19"/>
                <w:szCs w:val="19"/>
              </w:rPr>
              <w:t xml:space="preserve">https://smart-civic-pi.vercel.app
</w:t>
            </w:r>
            <w:r>
              <w:rPr>
                <w:rFonts w:ascii="Calibri" w:cs="Calibri" w:eastAsia="Calibri" w:hAnsi="Calibri"/>
                <w:color w:val="475569"/>
                <w:sz w:val="18"/>
                <w:szCs w:val="18"/>
              </w:rPr>
              <w:t xml:space="preserve">Demo Accounts: admin@smartcivic.gov.in | engineer@kwest.bmc.gov.in | contractor@mumbai-roads.com
</w:t>
            </w:r>
            <w:r>
              <w:rPr>
                <w:rFonts w:ascii="Calibri" w:cs="Calibri" w:eastAsia="Calibri" w:hAnsi="Calibri"/>
                <w:color w:val="475569"/>
                <w:sz w:val="18"/>
                <w:szCs w:val="18"/>
              </w:rPr>
              <w:t xml:space="preserve">Secretariat Liaison: Municipal Solutions Architecture Group, Fort HQ, Mumbai - 400001
</w:t>
            </w:r>
            <w:r>
              <w:rPr>
                <w:rFonts w:ascii="Calibri" w:cs="Calibri" w:eastAsia="Calibri" w:hAnsi="Calibri"/>
                <w:color w:val="475569"/>
                <w:sz w:val="18"/>
                <w:szCs w:val="18"/>
              </w:rPr>
              <w:t xml:space="preserve">Direct Line: +91 22 2262 0251 / Extension 4019</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94A3B8"/>
        <w:sz w:val="16"/>
        <w:szCs w:val="16"/>
      </w:rPr>
      <w:t xml:space="preserve">CONFIDENTIAL &amp; PROPRIETARY — TENDER &amp; TECHNICAL WHITEPAPER REF: BMC/IT-CIVIC/2026/PROPOSAL-0419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Brihanmumbai Municipal Corporation (BMC) | Smart Civic AI Platform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2026-08-30T07:41:02.222Z</dcterms:created>
  <dcterms:modified xsi:type="dcterms:W3CDTF">2026-08-30T07:41:02.223Z</dcterms:modified>
</cp:coreProperties>
</file>

<file path=docProps/custom.xml><?xml version="1.0" encoding="utf-8"?>
<Properties xmlns="http://schemas.openxmlformats.org/officeDocument/2006/custom-properties" xmlns:vt="http://schemas.openxmlformats.org/officeDocument/2006/docPropsVTypes"/>
</file>