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rFonts w:ascii="Calibri" w:cs="Calibri" w:eastAsia="Calibri" w:hAnsi="Calibri"/>
          <w:b/>
          <w:bCs/>
          <w:color w:val="0369A1"/>
          <w:sz w:val="24"/>
          <w:szCs w:val="24"/>
        </w:rPr>
        <w:t xml:space="preserve">MUNICIPAL PROJECT WHITEPAPER &amp; OFFICIAL TENDER-READY PROPOSAL
</w:t>
      </w:r>
      <w:r>
        <w:rPr>
          <w:rFonts w:ascii="Calibri" w:cs="Calibri" w:eastAsia="Calibri" w:hAnsi="Calibri"/>
          <w:b/>
          <w:bCs/>
          <w:color w:val="0F172A"/>
          <w:sz w:val="32"/>
          <w:szCs w:val="32"/>
        </w:rPr>
        <w:t xml:space="preserve">DEPLOYMENT OF SMART CIVIC AI PLATFORM (CITYOS)
Real-Time Grievance Resolution &amp; Ward Telemetry Across 24 Mumbai Wards (A to 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tcPr>
          <w:p>
            <w:r>
              <w:rPr>
                <w:rFonts w:ascii="Calibri" w:cs="Calibri" w:eastAsia="Calibri" w:hAnsi="Calibri"/>
                <w:b/>
                <w:bCs/>
                <w:color w:val="1E293B"/>
                <w:sz w:val="19"/>
                <w:szCs w:val="19"/>
              </w:rPr>
              <w:t xml:space="preserve">Target Municipal Authority:</w:t>
            </w:r>
          </w:p>
        </w:tc>
        <w:tc>
          <w:tcPr>
            <w:tcW w:type="pct" w:w="70%"/>
            <w:tcBorders>
              <w:top w:val="single" w:color="CBD5E1" w:sz="1"/>
              <w:left w:val="single" w:color="CBD5E1" w:sz="1"/>
              <w:bottom w:val="single" w:color="CBD5E1" w:sz="1"/>
              <w:right w:val="single" w:color="CBD5E1" w:sz="1"/>
            </w:tcBorders>
            <w:shd w:fill="F8FAFC" w:val="clear"/>
            <w:tcMar>
              <w:top w:type="dxa" w:w="100"/>
              <w:left w:type="dxa" w:w="150"/>
              <w:bottom w:type="dxa" w:w="100"/>
              <w:right w:type="dxa" w:w="150"/>
            </w:tcMar>
          </w:tcPr>
          <w:p>
            <w:r>
              <w:rPr>
                <w:rFonts w:ascii="Calibri" w:cs="Calibri" w:eastAsia="Calibri" w:hAnsi="Calibri"/>
                <w:color w:val="334155"/>
                <w:sz w:val="19"/>
                <w:szCs w:val="19"/>
              </w:rPr>
              <w:t xml:space="preserve">Brihanmumbai Municipal Corporation (BMC), Mahapalika Marg, Mumbai - 400001</w:t>
            </w:r>
          </w:p>
        </w:tc>
      </w:tr>
      <w:tr>
        <w:tc>
          <w:tcPr>
            <w:tcW w:type="pct" w:w="30%"/>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tcPr>
          <w:p>
            <w:r>
              <w:rPr>
                <w:rFonts w:ascii="Calibri" w:cs="Calibri" w:eastAsia="Calibri" w:hAnsi="Calibri"/>
                <w:b/>
                <w:bCs/>
                <w:color w:val="1E293B"/>
                <w:sz w:val="19"/>
                <w:szCs w:val="19"/>
              </w:rPr>
              <w:t xml:space="preserve">Core Architecture Scope:</w:t>
            </w:r>
          </w:p>
        </w:tc>
        <w:tc>
          <w:tcPr>
            <w:tcW w:type="pct" w:w="70%"/>
            <w:tcBorders>
              <w:top w:val="single" w:color="CBD5E1" w:sz="1"/>
              <w:left w:val="single" w:color="CBD5E1" w:sz="1"/>
              <w:bottom w:val="single" w:color="CBD5E1" w:sz="1"/>
              <w:right w:val="single" w:color="CBD5E1" w:sz="1"/>
            </w:tcBorders>
            <w:shd w:fill="F8FAFC" w:val="clear"/>
            <w:tcMar>
              <w:top w:type="dxa" w:w="100"/>
              <w:left w:type="dxa" w:w="150"/>
              <w:bottom w:type="dxa" w:w="100"/>
              <w:right w:type="dxa" w:w="150"/>
            </w:tcMar>
          </w:tcPr>
          <w:p>
            <w:r>
              <w:rPr>
                <w:rFonts w:ascii="Calibri" w:cs="Calibri" w:eastAsia="Calibri" w:hAnsi="Calibri"/>
                <w:color w:val="334155"/>
                <w:sz w:val="19"/>
                <w:szCs w:val="19"/>
              </w:rPr>
              <w:t xml:space="preserve">YOLOv8 Vision Intake, 24-Ward GeoJSON Routing, Ward Broadcast Pool Dispatch, AI Quality Gates &amp; Real-Time WebSockets</w:t>
            </w:r>
          </w:p>
        </w:tc>
      </w:tr>
      <w:tr>
        <w:tc>
          <w:tcPr>
            <w:tcW w:type="pct" w:w="30%"/>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tcPr>
          <w:p>
            <w:r>
              <w:rPr>
                <w:rFonts w:ascii="Calibri" w:cs="Calibri" w:eastAsia="Calibri" w:hAnsi="Calibri"/>
                <w:b/>
                <w:bCs/>
                <w:color w:val="1E293B"/>
                <w:sz w:val="19"/>
                <w:szCs w:val="19"/>
              </w:rPr>
              <w:t xml:space="preserve">Live Platform URL:</w:t>
            </w:r>
          </w:p>
        </w:tc>
        <w:tc>
          <w:tcPr>
            <w:tcW w:type="pct" w:w="70%"/>
            <w:tcBorders>
              <w:top w:val="single" w:color="CBD5E1" w:sz="1"/>
              <w:left w:val="single" w:color="CBD5E1" w:sz="1"/>
              <w:bottom w:val="single" w:color="CBD5E1" w:sz="1"/>
              <w:right w:val="single" w:color="CBD5E1" w:sz="1"/>
            </w:tcBorders>
            <w:shd w:fill="F8FAFC" w:val="clear"/>
            <w:tcMar>
              <w:top w:type="dxa" w:w="100"/>
              <w:left w:type="dxa" w:w="150"/>
              <w:bottom w:type="dxa" w:w="100"/>
              <w:right w:type="dxa" w:w="150"/>
            </w:tcMar>
          </w:tcPr>
          <w:p>
            <w:r>
              <w:rPr>
                <w:rFonts w:ascii="Calibri" w:cs="Calibri" w:eastAsia="Calibri" w:hAnsi="Calibri"/>
                <w:b/>
                <w:bCs/>
                <w:color w:val="0284C7"/>
                <w:sz w:val="19"/>
                <w:szCs w:val="19"/>
              </w:rPr>
              <w:t xml:space="preserve">https://smart-civic-pi.vercel.app</w:t>
            </w:r>
          </w:p>
        </w:tc>
      </w:tr>
      <w:tr>
        <w:tc>
          <w:tcPr>
            <w:tcW w:type="pct" w:w="30%"/>
            <w:tcBorders>
              <w:top w:val="single" w:color="CBD5E1" w:sz="1"/>
              <w:left w:val="single" w:color="CBD5E1" w:sz="1"/>
              <w:bottom w:val="single" w:color="CBD5E1" w:sz="1"/>
              <w:right w:val="single" w:color="CBD5E1" w:sz="1"/>
            </w:tcBorders>
            <w:shd w:fill="F1F5F9" w:val="clear"/>
            <w:tcMar>
              <w:top w:type="dxa" w:w="100"/>
              <w:left w:type="dxa" w:w="150"/>
              <w:bottom w:type="dxa" w:w="100"/>
              <w:right w:type="dxa" w:w="150"/>
            </w:tcMar>
          </w:tcPr>
          <w:p>
            <w:r>
              <w:rPr>
                <w:rFonts w:ascii="Calibri" w:cs="Calibri" w:eastAsia="Calibri" w:hAnsi="Calibri"/>
                <w:b/>
                <w:bCs/>
                <w:color w:val="1E293B"/>
                <w:sz w:val="19"/>
                <w:szCs w:val="19"/>
              </w:rPr>
              <w:t xml:space="preserve">Security Classification:</w:t>
            </w:r>
          </w:p>
        </w:tc>
        <w:tc>
          <w:tcPr>
            <w:tcW w:type="pct" w:w="70%"/>
            <w:tcBorders>
              <w:top w:val="single" w:color="CBD5E1" w:sz="1"/>
              <w:left w:val="single" w:color="CBD5E1" w:sz="1"/>
              <w:bottom w:val="single" w:color="CBD5E1" w:sz="1"/>
              <w:right w:val="single" w:color="CBD5E1" w:sz="1"/>
            </w:tcBorders>
            <w:shd w:fill="F8FAFC" w:val="clear"/>
            <w:tcMar>
              <w:top w:type="dxa" w:w="100"/>
              <w:left w:type="dxa" w:w="150"/>
              <w:bottom w:type="dxa" w:w="100"/>
              <w:right w:type="dxa" w:w="150"/>
            </w:tcMar>
          </w:tcPr>
          <w:p>
            <w:r>
              <w:rPr>
                <w:rFonts w:ascii="Calibri" w:cs="Calibri" w:eastAsia="Calibri" w:hAnsi="Calibri"/>
                <w:color w:val="334155"/>
                <w:sz w:val="19"/>
                <w:szCs w:val="19"/>
              </w:rPr>
              <w:t xml:space="preserve">OFFICIAL / ADMINISTRATIVE SENSITIVE | REF: BMC/IT-CIVIC/2026/PROPOSAL-0419</w:t>
            </w:r>
          </w:p>
        </w:tc>
      </w:tr>
    </w:tbl>
    <w:p>
      <w:pPr>
        <w:spacing w:after="100" w:before="200"/>
      </w:pPr>
    </w:p>
    <w:p>
      <w:pPr>
        <w:spacing w:after="120" w:before="250"/>
      </w:pPr>
      <w:r>
        <w:rPr>
          <w:rFonts w:ascii="Calibri" w:cs="Calibri" w:eastAsia="Calibri" w:hAnsi="Calibri"/>
          <w:b/>
          <w:bCs/>
          <w:color w:val="0369A1"/>
          <w:sz w:val="26"/>
          <w:szCs w:val="26"/>
        </w:rPr>
        <w:t xml:space="preserve">1. Executive Summary &amp; Vision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left w:val="single" w:color="2563EB" w:sz="24"/>
              <w:bottom/>
              <w:right/>
            </w:tcBorders>
            <w:shd w:fill="EFF6FF" w:val="clear"/>
            <w:tcMar>
              <w:top w:type="dxa" w:w="140"/>
              <w:left w:type="dxa" w:w="200"/>
              <w:bottom w:type="dxa" w:w="140"/>
              <w:right w:type="dxa" w:w="200"/>
            </w:tcMar>
          </w:tcPr>
          <w:p>
            <w:r>
              <w:rPr>
                <w:rFonts w:ascii="Calibri" w:cs="Calibri" w:eastAsia="Calibri" w:hAnsi="Calibri"/>
                <w:b/>
                <w:bCs/>
                <w:color w:val="1D4ED8"/>
                <w:sz w:val="20"/>
                <w:szCs w:val="20"/>
              </w:rPr>
              <w:t xml:space="preserve">EXECUTIVE ABSTRACT
</w:t>
            </w:r>
            <w:r>
              <w:rPr>
                <w:rFonts w:ascii="Calibri" w:cs="Calibri" w:eastAsia="Calibri" w:hAnsi="Calibri"/>
                <w:color w:val="1E3A8A"/>
                <w:sz w:val="19"/>
                <w:szCs w:val="19"/>
              </w:rPr>
              <w:t xml:space="preserve">Smart Civic AI is a high-performance, real-time City Operating System (CityOS) engineered specifically for the Brihanmumbai Municipal Corporation (BMC). It replaces slow, error-prone manual triage with automated computer vision classification (YOLOv8 + NVIDIA NIM), spatial Point-in-Polygon 24-Ward routing, an open Ward Broadcast Pool for field worker task claiming, and strict AI-verified resolution quality gates that prevent fraudulent ticket closure.</w:t>
            </w:r>
          </w:p>
        </w:tc>
      </w:tr>
    </w:tbl>
    <w:p>
      <w:pPr>
        <w:spacing w:after="120" w:before="250"/>
      </w:pPr>
      <w:r>
        <w:rPr>
          <w:rFonts w:ascii="Calibri" w:cs="Calibri" w:eastAsia="Calibri" w:hAnsi="Calibri"/>
          <w:b/>
          <w:bCs/>
          <w:color w:val="0369A1"/>
          <w:sz w:val="26"/>
          <w:szCs w:val="26"/>
        </w:rPr>
        <w:t xml:space="preserve">2. Detailed System Architecture &amp; Implementation</w:t>
      </w:r>
    </w:p>
    <w:p>
      <w:pPr>
        <w:spacing w:after="80" w:before="60"/>
      </w:pPr>
      <w:r>
        <w:rPr>
          <w:rFonts w:ascii="Calibri" w:cs="Calibri" w:eastAsia="Calibri" w:hAnsi="Calibri"/>
          <w:b/>
          <w:bCs/>
          <w:color w:val="0F172A"/>
          <w:sz w:val="20"/>
          <w:szCs w:val="20"/>
        </w:rPr>
        <w:t xml:space="preserve">A. Automated AI Vision Intake &amp; Defect Classification:
</w:t>
      </w:r>
      <w:r>
        <w:rPr>
          <w:rFonts w:ascii="Calibri" w:cs="Calibri" w:eastAsia="Calibri" w:hAnsi="Calibri"/>
          <w:color w:val="334155"/>
          <w:sz w:val="19"/>
          <w:szCs w:val="19"/>
        </w:rPr>
        <w:t xml:space="preserve">Citizens report issues by capturing or uploading photos. The intake engine classifies complaints into municipal categories (Potholes, Solid Waste, Drainage, Street Lighting, Water Supply, Encroachment) with real-time confidence scores and automatic severity grading (Low, Medium, High, Critical).</w:t>
      </w:r>
    </w:p>
    <w:p>
      <w:pPr>
        <w:spacing w:after="80" w:before="60"/>
      </w:pPr>
      <w:r>
        <w:rPr>
          <w:rFonts w:ascii="Calibri" w:cs="Calibri" w:eastAsia="Calibri" w:hAnsi="Calibri"/>
          <w:b/>
          <w:bCs/>
          <w:color w:val="0F172A"/>
          <w:sz w:val="20"/>
          <w:szCs w:val="20"/>
        </w:rPr>
        <w:t xml:space="preserve">B. 24-Ward High-Precision Spatial Boundary Routing:
</w:t>
      </w:r>
      <w:r>
        <w:rPr>
          <w:rFonts w:ascii="Calibri" w:cs="Calibri" w:eastAsia="Calibri" w:hAnsi="Calibri"/>
          <w:color w:val="334155"/>
          <w:sz w:val="19"/>
          <w:szCs w:val="19"/>
        </w:rPr>
        <w:t xml:space="preserve">Using Ray-Casting Point-in-Polygon (PIP) algorithms over authentic GeoJSON polygon coordinates for all 24 BMC Administrative Wards (Ward A to Ward T), complaints are instantly mapped to the correct municipal ward office and department without manual officer intervention.</w:t>
      </w:r>
    </w:p>
    <w:p>
      <w:pPr>
        <w:spacing w:after="80" w:before="60"/>
      </w:pPr>
      <w:r>
        <w:rPr>
          <w:rFonts w:ascii="Calibri" w:cs="Calibri" w:eastAsia="Calibri" w:hAnsi="Calibri"/>
          <w:b/>
          <w:bCs/>
          <w:color w:val="0F172A"/>
          <w:sz w:val="20"/>
          <w:szCs w:val="20"/>
        </w:rPr>
        <w:t xml:space="preserve">C. Ward Broadcast Pool &amp; Worker Self-Claim Workflow:
</w:t>
      </w:r>
      <w:r>
        <w:rPr>
          <w:rFonts w:ascii="Calibri" w:cs="Calibri" w:eastAsia="Calibri" w:hAnsi="Calibri"/>
          <w:color w:val="334155"/>
          <w:sz w:val="19"/>
          <w:szCs w:val="19"/>
        </w:rPr>
        <w:t xml:space="preserve">Rather than locking complaints to a single worker, open tickets are broadcast to the entire Ward Pool. All officers and field workers assigned to that ward can view open tickets in real time. Any worker can claim a task with a single tap (PUT /api/complaints/:id/accept-task), automatically transitioning status to In Progress, incrementing worker active counts, and notifying citizens and officers instantly.</w:t>
      </w:r>
    </w:p>
    <w:p>
      <w:pPr>
        <w:spacing w:after="80" w:before="60"/>
      </w:pPr>
      <w:r>
        <w:rPr>
          <w:rFonts w:ascii="Calibri" w:cs="Calibri" w:eastAsia="Calibri" w:hAnsi="Calibri"/>
          <w:b/>
          <w:bCs/>
          <w:color w:val="0F172A"/>
          <w:sz w:val="20"/>
          <w:szCs w:val="20"/>
        </w:rPr>
        <w:t xml:space="preserve">D. AI-Verified Resolution Quality Gatekeeper (Anti-Fraud):
</w:t>
      </w:r>
      <w:r>
        <w:rPr>
          <w:rFonts w:ascii="Calibri" w:cs="Calibri" w:eastAsia="Calibri" w:hAnsi="Calibri"/>
          <w:color w:val="334155"/>
          <w:sz w:val="19"/>
          <w:szCs w:val="19"/>
        </w:rPr>
        <w:t xml:space="preserve">A complaint remains strictly In Progress until an authentic, on-site resolution photo is uploaded. The AI Inspector analyzes pixel variance and re-classifies the scene. If the worker uploads the citizen's original defect photo, a black/obscured photo, or if the defect is still present, the system returns HTTP 422 with a specific rejection reason, requiring genuine on-site repair proof.</w:t>
      </w:r>
    </w:p>
    <w:p>
      <w:pPr>
        <w:spacing w:after="80" w:before="60"/>
      </w:pPr>
      <w:r>
        <w:rPr>
          <w:rFonts w:ascii="Calibri" w:cs="Calibri" w:eastAsia="Calibri" w:hAnsi="Calibri"/>
          <w:b/>
          <w:bCs/>
          <w:color w:val="0F172A"/>
          <w:sz w:val="20"/>
          <w:szCs w:val="20"/>
        </w:rPr>
        <w:t xml:space="preserve">E. Zero-Latency WebSocket Telemetry &amp; Real-Time Push:
</w:t>
      </w:r>
      <w:r>
        <w:rPr>
          <w:rFonts w:ascii="Calibri" w:cs="Calibri" w:eastAsia="Calibri" w:hAnsi="Calibri"/>
          <w:color w:val="334155"/>
          <w:sz w:val="19"/>
          <w:szCs w:val="19"/>
        </w:rPr>
        <w:t xml:space="preserve">Built on native Socket.IO rooms (complaint:&lt;id&gt;, user:&lt;citizenId&gt;, ward:&lt;wardName&gt;), progress steps update in real time with haptic vibrations and animated live telemetry notifications without requiring a page reload.</w:t>
      </w:r>
    </w:p>
    <w:p>
      <w:pPr>
        <w:spacing w:after="80" w:before="60"/>
      </w:pPr>
      <w:r>
        <w:rPr>
          <w:rFonts w:ascii="Calibri" w:cs="Calibri" w:eastAsia="Calibri" w:hAnsi="Calibri"/>
          <w:b/>
          <w:bCs/>
          <w:color w:val="0F172A"/>
          <w:sz w:val="20"/>
          <w:szCs w:val="20"/>
        </w:rPr>
        <w:t xml:space="preserve">F. Traveling Salesperson Problem (TSP) Shift Route Optimizer:
</w:t>
      </w:r>
      <w:r>
        <w:rPr>
          <w:rFonts w:ascii="Calibri" w:cs="Calibri" w:eastAsia="Calibri" w:hAnsi="Calibri"/>
          <w:color w:val="334155"/>
          <w:sz w:val="19"/>
          <w:szCs w:val="19"/>
        </w:rPr>
        <w:t xml:space="preserve">Field workers can optimize their daily assigned repairs into the shortest driving circuit across Mumbai wards using Nearest-Neighbor and 2-Opt heuristics, complete with interactive Leaflet TSP route visualization.</w:t>
      </w:r>
    </w:p>
    <w:p>
      <w:pPr>
        <w:spacing w:after="80" w:before="60"/>
      </w:pPr>
      <w:r>
        <w:rPr>
          <w:rFonts w:ascii="Calibri" w:cs="Calibri" w:eastAsia="Calibri" w:hAnsi="Calibri"/>
          <w:b/>
          <w:bCs/>
          <w:color w:val="0F172A"/>
          <w:sz w:val="20"/>
          <w:szCs w:val="20"/>
        </w:rPr>
        <w:t xml:space="preserve">G. Civic Karma Reward Engine &amp; Gamification:
</w:t>
      </w:r>
      <w:r>
        <w:rPr>
          <w:rFonts w:ascii="Calibri" w:cs="Calibri" w:eastAsia="Calibri" w:hAnsi="Calibri"/>
          <w:color w:val="334155"/>
          <w:sz w:val="19"/>
          <w:szCs w:val="19"/>
        </w:rPr>
        <w:t xml:space="preserve">Citizens earn +10 Civic Karma points for each verified issue reported, unlocking tiered badges (Citizen Contributor, Active Citizen, Ward Guardian) and redeeming municipal partner discount vouchers.</w:t>
      </w:r>
    </w:p>
    <w:p>
      <w:pPr>
        <w:spacing w:after="120" w:before="250"/>
      </w:pPr>
      <w:r>
        <w:rPr>
          <w:rFonts w:ascii="Calibri" w:cs="Calibri" w:eastAsia="Calibri" w:hAnsi="Calibri"/>
          <w:b/>
          <w:bCs/>
          <w:color w:val="0369A1"/>
          <w:sz w:val="26"/>
          <w:szCs w:val="26"/>
        </w:rPr>
        <w:t xml:space="preserve">3. 4-Tier Unified Role Hierarchy &amp; Dashboards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r>
              <w:rPr>
                <w:rFonts w:ascii="Calibri" w:cs="Calibri" w:eastAsia="Calibri" w:hAnsi="Calibri"/>
                <w:b/>
                <w:bCs/>
                <w:color w:val="FFFFFF"/>
                <w:sz w:val="20"/>
                <w:szCs w:val="20"/>
              </w:rPr>
              <w:t xml:space="preserve">Role / Portal</w:t>
            </w:r>
          </w:p>
        </w:tc>
        <w:tc>
          <w:tcPr>
            <w:tcW w:type="pct" w:w="75%"/>
            <w:tcBorders>
              <w:top w:val="single" w:color="CBD5E1" w:sz="1"/>
              <w:left w:val="single" w:color="CBD5E1" w:sz="1"/>
              <w:bottom w:val="single" w:color="CBD5E1" w:sz="1"/>
              <w:right w:val="single" w:color="CBD5E1" w:sz="1"/>
            </w:tcBorders>
            <w:shd w:fill="1E3A8A" w:val="clear"/>
            <w:tcMar>
              <w:top w:type="dxa" w:w="120"/>
              <w:left w:type="dxa" w:w="140"/>
              <w:bottom w:type="dxa" w:w="120"/>
              <w:right w:type="dxa" w:w="140"/>
            </w:tcMar>
          </w:tcPr>
          <w:p>
            <w:r>
              <w:rPr>
                <w:rFonts w:ascii="Calibri" w:cs="Calibri" w:eastAsia="Calibri" w:hAnsi="Calibri"/>
                <w:b/>
                <w:bCs/>
                <w:color w:val="FFFFFF"/>
                <w:sz w:val="20"/>
                <w:szCs w:val="20"/>
              </w:rPr>
              <w:t xml:space="preserve">Key Capabilities &amp; Workflows</w:t>
            </w:r>
          </w:p>
        </w:tc>
      </w:tr>
      <w:tr>
        <w:tc>
          <w:tcPr>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rFonts w:ascii="Calibri" w:cs="Calibri" w:eastAsia="Calibri" w:hAnsi="Calibri"/>
                <w:b/>
                <w:bCs/>
                <w:color w:val="0F172A"/>
                <w:sz w:val="19"/>
                <w:szCs w:val="19"/>
              </w:rPr>
              <w:t xml:space="preserve">1. Citizen</w:t>
            </w:r>
          </w:p>
        </w:tc>
        <w:tc>
          <w:tcPr>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rFonts w:ascii="Calibri" w:cs="Calibri" w:eastAsia="Calibri" w:hAnsi="Calibri"/>
                <w:color w:val="334155"/>
                <w:sz w:val="19"/>
                <w:szCs w:val="19"/>
              </w:rPr>
              <w:t xml:space="preserve">Quick Snap reporting, Marathi/Hindi/English voice input, live GPS map explorer, real-time ticket tracking timeline with before/after resolution diff slider, and Civic Karma vouchers.</w:t>
            </w:r>
          </w:p>
        </w:tc>
      </w:tr>
      <w:tr>
        <w:tc>
          <w:tcPr>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2. Field Worker</w:t>
            </w:r>
          </w:p>
        </w:tc>
        <w:tc>
          <w:tcPr>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r>
              <w:rPr>
                <w:rFonts w:ascii="Calibri" w:cs="Calibri" w:eastAsia="Calibri" w:hAnsi="Calibri"/>
                <w:color w:val="334155"/>
                <w:sz w:val="19"/>
                <w:szCs w:val="19"/>
              </w:rPr>
              <w:t xml:space="preserve">Ward Open Pool tab for 1-tap task claiming, My Active Repairs queue, TSP shift route optimization, live turn-by-turn GPS navigation, low-bandwidth image compressor, offline queue sync, and AI-inspected resolution proof submission.</w:t>
            </w:r>
          </w:p>
        </w:tc>
      </w:tr>
      <w:tr>
        <w:tc>
          <w:tcPr>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rFonts w:ascii="Calibri" w:cs="Calibri" w:eastAsia="Calibri" w:hAnsi="Calibri"/>
                <w:b/>
                <w:bCs/>
                <w:color w:val="0F172A"/>
                <w:sz w:val="19"/>
                <w:szCs w:val="19"/>
              </w:rPr>
              <w:t xml:space="preserve">3. Ward Officer</w:t>
            </w:r>
          </w:p>
        </w:tc>
        <w:tc>
          <w:tcPr>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rFonts w:ascii="Calibri" w:cs="Calibri" w:eastAsia="Calibri" w:hAnsi="Calibri"/>
                <w:color w:val="334155"/>
                <w:sz w:val="19"/>
                <w:szCs w:val="19"/>
              </w:rPr>
              <w:t xml:space="preserve">Ward control desk with real-time grievance triage, SLA countdown timers, dynamic department filtering, Monsoon flood radar monitoring, and manual worker dispatch overrides.</w:t>
            </w:r>
          </w:p>
        </w:tc>
      </w:tr>
      <w:tr>
        <w:tc>
          <w:tcPr>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4. Executive Admin</w:t>
            </w:r>
          </w:p>
        </w:tc>
        <w:tc>
          <w:tcPr>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r>
              <w:rPr>
                <w:rFonts w:ascii="Calibri" w:cs="Calibri" w:eastAsia="Calibri" w:hAnsi="Calibri"/>
                <w:color w:val="334155"/>
                <w:sz w:val="19"/>
                <w:szCs w:val="19"/>
              </w:rPr>
              <w:t xml:space="preserve">City-wide Command Center, 24-Ward GIS heatmaps, interactive Admin Data Studio for SQL/aggregate analytics, contractor scorecards, and tamper-evident audit ledger.</w:t>
            </w:r>
          </w:p>
        </w:tc>
      </w:tr>
    </w:tbl>
    <w:p>
      <w:pPr>
        <w:spacing w:after="120" w:before="250"/>
      </w:pPr>
      <w:r>
        <w:rPr>
          <w:rFonts w:ascii="Calibri" w:cs="Calibri" w:eastAsia="Calibri" w:hAnsi="Calibri"/>
          <w:b/>
          <w:bCs/>
          <w:color w:val="0369A1"/>
          <w:sz w:val="26"/>
          <w:szCs w:val="26"/>
        </w:rPr>
        <w:t xml:space="preserve">4. Technology Stack &amp; Enterprise Resilience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BD5E1" w:sz="1"/>
              <w:left w:val="single" w:color="CBD5E1" w:sz="1"/>
              <w:bottom w:val="single" w:color="CBD5E1" w:sz="1"/>
              <w:right w:val="single" w:color="CBD5E1" w:sz="1"/>
            </w:tcBorders>
            <w:shd w:fill="0F766E" w:val="clear"/>
            <w:tcMar>
              <w:top w:type="dxa" w:w="100"/>
              <w:left w:type="dxa" w:w="140"/>
              <w:bottom w:type="dxa" w:w="100"/>
              <w:right w:type="dxa" w:w="140"/>
            </w:tcMar>
          </w:tcPr>
          <w:p>
            <w:r>
              <w:rPr>
                <w:rFonts w:ascii="Calibri" w:cs="Calibri" w:eastAsia="Calibri" w:hAnsi="Calibri"/>
                <w:b/>
                <w:bCs/>
                <w:color w:val="FFFFFF"/>
                <w:sz w:val="20"/>
                <w:szCs w:val="20"/>
              </w:rPr>
              <w:t xml:space="preserve">Layer</w:t>
            </w:r>
          </w:p>
        </w:tc>
        <w:tc>
          <w:tcPr>
            <w:tcW w:type="pct" w:w="70%"/>
            <w:tcBorders>
              <w:top w:val="single" w:color="CBD5E1" w:sz="1"/>
              <w:left w:val="single" w:color="CBD5E1" w:sz="1"/>
              <w:bottom w:val="single" w:color="CBD5E1" w:sz="1"/>
              <w:right w:val="single" w:color="CBD5E1" w:sz="1"/>
            </w:tcBorders>
            <w:shd w:fill="0F766E" w:val="clear"/>
            <w:tcMar>
              <w:top w:type="dxa" w:w="100"/>
              <w:left w:type="dxa" w:w="140"/>
              <w:bottom w:type="dxa" w:w="100"/>
              <w:right w:type="dxa" w:w="140"/>
            </w:tcMar>
          </w:tcPr>
          <w:p>
            <w:r>
              <w:rPr>
                <w:rFonts w:ascii="Calibri" w:cs="Calibri" w:eastAsia="Calibri" w:hAnsi="Calibri"/>
                <w:b/>
                <w:bCs/>
                <w:color w:val="FFFFFF"/>
                <w:sz w:val="20"/>
                <w:szCs w:val="20"/>
              </w:rPr>
              <w:t xml:space="preserve">Implemented Technology &amp; Framework</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Frontend UI</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React 19, TypeScript, Vite, Tailwind CSS, Framer Motion, Lucide Icons, PWA Service Worker</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Backend API</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Node.js, Express, Socket.IO, Helmet, Express-Rate-Limit, Compression, Morgan</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Database &amp; Storage</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MongoDB (Mongoose ODM with 2dsphere indexing &amp; exponential connection retry loop), Local Upload Storage with auto-initialization</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AI &amp; Vision Pipeline</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YOLOv8 + NVIDIA NIM / TensorRT, Sharp pixel variance inspection, and Gemini AI analysis</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GIS &amp; Mapping</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Leaflet, MarkerCluster, OpenStreetMap Tiles, Mumbai 24-Ward Polygon GeoJSON</w:t>
            </w:r>
          </w:p>
        </w:tc>
      </w:tr>
      <w:tr>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b/>
                <w:bCs/>
                <w:sz w:val="19"/>
                <w:szCs w:val="19"/>
              </w:rPr>
              <w:t xml:space="preserve">Authentication &amp; Push</w:t>
            </w:r>
          </w:p>
        </w:tc>
        <w:tc>
          <w:tcPr>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Calibri" w:cs="Calibri" w:eastAsia="Calibri" w:hAnsi="Calibri"/>
                <w:sz w:val="19"/>
                <w:szCs w:val="19"/>
              </w:rPr>
              <w:t xml:space="preserve">JWT Bearer Authentication, Firebase Auth &amp; Firebase Cloud Messaging (FCM)</w:t>
            </w:r>
          </w:p>
        </w:tc>
      </w:tr>
    </w:tbl>
    <w:p>
      <w:pPr>
        <w:spacing w:after="120" w:before="250"/>
      </w:pPr>
      <w:r>
        <w:rPr>
          <w:rFonts w:ascii="Calibri" w:cs="Calibri" w:eastAsia="Calibri" w:hAnsi="Calibri"/>
          <w:b/>
          <w:bCs/>
          <w:color w:val="0369A1"/>
          <w:sz w:val="26"/>
          <w:szCs w:val="26"/>
        </w:rPr>
        <w:t xml:space="preserve">5. Proposed Pilot Deployment &amp; Demonstration Access</w:t>
      </w:r>
    </w:p>
    <w:p>
      <w:pPr>
        <w:spacing w:after="80" w:before="60"/>
      </w:pPr>
      <w:r>
        <w:rPr>
          <w:rFonts w:ascii="Calibri" w:cs="Calibri" w:eastAsia="Calibri" w:hAnsi="Calibri"/>
          <w:color w:val="334155"/>
          <w:sz w:val="20"/>
          <w:szCs w:val="20"/>
        </w:rPr>
        <w:t xml:space="preserve">An immediate 30-day zero-risk trial is recommended across high-density pilot wards: Ward G-North (Dadar / Dharavi) and Ward H-West (Bandra / Khar), validating sub-30-second automated triage, 0% duplicate ticket leaks, and real-time field task claiming.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BD5E1" w:sz="1"/>
              <w:left w:val="single" w:color="CBD5E1" w:sz="1"/>
              <w:bottom w:val="single" w:color="CBD5E1" w:sz="1"/>
              <w:right w:val="single" w:color="CBD5E1" w:sz="1"/>
            </w:tcBorders>
            <w:shd w:fill="F1F5F9" w:val="clear"/>
            <w:tcMar>
              <w:top w:type="dxa" w:w="140"/>
              <w:left w:type="dxa" w:w="200"/>
              <w:bottom w:type="dxa" w:w="140"/>
              <w:right w:type="dxa" w:w="200"/>
            </w:tcMar>
          </w:tcPr>
          <w:p>
            <w:r>
              <w:rPr>
                <w:rFonts w:ascii="Calibri" w:cs="Calibri" w:eastAsia="Calibri" w:hAnsi="Calibri"/>
                <w:b/>
                <w:bCs/>
                <w:color w:val="0F172A"/>
                <w:sz w:val="20"/>
                <w:szCs w:val="20"/>
              </w:rPr>
              <w:t xml:space="preserve">OFFICIAL SYSTEM DEMONSTRATION ACCESS
</w:t>
            </w:r>
            <w:r>
              <w:rPr>
                <w:rFonts w:ascii="Calibri" w:cs="Calibri" w:eastAsia="Calibri" w:hAnsi="Calibri"/>
                <w:b/>
                <w:bCs/>
                <w:color w:val="0284C7"/>
                <w:sz w:val="19"/>
                <w:szCs w:val="19"/>
              </w:rPr>
              <w:t xml:space="preserve">Live Web App: </w:t>
            </w:r>
            <w:r>
              <w:rPr>
                <w:rFonts w:ascii="Calibri" w:cs="Calibri" w:eastAsia="Calibri" w:hAnsi="Calibri"/>
                <w:color w:val="0284C7"/>
                <w:sz w:val="19"/>
                <w:szCs w:val="19"/>
              </w:rPr>
              <w:t xml:space="preserve">https://smart-civic-pi.vercel.app
</w:t>
            </w:r>
            <w:r>
              <w:rPr>
                <w:rFonts w:ascii="Calibri" w:cs="Calibri" w:eastAsia="Calibri" w:hAnsi="Calibri"/>
                <w:color w:val="475569"/>
                <w:sz w:val="18"/>
                <w:szCs w:val="18"/>
              </w:rPr>
              <w:t xml:space="preserve">Municipal Architecture Liaison: Municipal Solutions Architecture Group, Fort HQ, Mumbai - 400001
</w:t>
            </w:r>
            <w:r>
              <w:rPr>
                <w:rFonts w:ascii="Calibri" w:cs="Calibri" w:eastAsia="Calibri" w:hAnsi="Calibri"/>
                <w:color w:val="475569"/>
                <w:sz w:val="18"/>
                <w:szCs w:val="18"/>
              </w:rPr>
              <w:t xml:space="preserve">Direct Reference: BMC/IT-CIVIC/2026/PROPOSAL-0419</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94A3B8"/>
        <w:sz w:val="16"/>
        <w:szCs w:val="16"/>
      </w:rPr>
      <w:t xml:space="preserve">CONFIDENTIAL &amp; PROPRIETARY — TENDER &amp; TECHNICAL WHITEPAPER REF: BMC/IT-CIVIC/2026/PROPOSAL-0419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748B"/>
        <w:sz w:val="17"/>
        <w:szCs w:val="17"/>
      </w:rPr>
      <w:t xml:space="preserve">Brihanmumbai Municipal Corporation (BMC) | Smart Civic AI Platform Dossier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2026-09-01T11:53:24.156Z</dcterms:created>
  <dcterms:modified xsi:type="dcterms:W3CDTF">2026-09-01T11:53:24.156Z</dcterms:modified>
</cp:coreProperties>
</file>

<file path=docProps/custom.xml><?xml version="1.0" encoding="utf-8"?>
<Properties xmlns="http://schemas.openxmlformats.org/officeDocument/2006/custom-properties" xmlns:vt="http://schemas.openxmlformats.org/officeDocument/2006/docPropsVTypes"/>
</file>